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A9776">
      <w:pPr>
        <w:widowControl/>
        <w:tabs>
          <w:tab w:val="center" w:pos="4153"/>
          <w:tab w:val="left" w:pos="7155"/>
        </w:tabs>
        <w:jc w:val="center"/>
        <w:rPr>
          <w:rFonts w:hint="default" w:ascii="方正行楷_GBK" w:hAnsi="宋体" w:eastAsia="方正行楷_GBK" w:cs="宋体"/>
          <w:color w:val="FF0000"/>
          <w:kern w:val="0"/>
          <w:sz w:val="280"/>
          <w:szCs w:val="280"/>
          <w:lang w:val="en-US" w:eastAsia="zh-CN"/>
        </w:rPr>
      </w:pPr>
      <w:r>
        <w:rPr>
          <w:rFonts w:hint="eastAsia" w:ascii="方正小标宋简体" w:hAnsi="方正小标宋简体" w:eastAsia="方正小标宋简体" w:cs="方正小标宋简体"/>
          <w:color w:val="FF0000"/>
          <w:kern w:val="0"/>
          <w:sz w:val="88"/>
          <w:szCs w:val="88"/>
          <w:lang w:val="en-US" w:eastAsia="zh-CN"/>
        </w:rPr>
        <w:t>国际国内疾控信息动态</w:t>
      </w:r>
    </w:p>
    <w:p w14:paraId="5E9CD17F">
      <w:pPr>
        <w:widowControl/>
        <w:tabs>
          <w:tab w:val="center" w:pos="4153"/>
          <w:tab w:val="left" w:pos="9000"/>
        </w:tabs>
        <w:ind w:left="-178" w:leftChars="-85" w:firstLine="179" w:firstLineChars="56"/>
        <w:jc w:val="center"/>
        <w:rPr>
          <w:rFonts w:hint="eastAsia" w:ascii="方正楷体_GBK" w:hAnsi="方正楷体_GBK" w:eastAsia="方正楷体_GBK" w:cs="方正楷体_GBK"/>
          <w:color w:val="000000"/>
          <w:kern w:val="0"/>
          <w:sz w:val="32"/>
          <w:szCs w:val="32"/>
        </w:rPr>
      </w:pPr>
      <w:r>
        <w:rPr>
          <w:rFonts w:hint="eastAsia" w:ascii="方正楷体_GBK" w:hAnsi="方正楷体_GBK" w:eastAsia="方正楷体_GBK" w:cs="方正楷体_GBK"/>
          <w:color w:val="000000"/>
          <w:kern w:val="0"/>
          <w:sz w:val="32"/>
          <w:szCs w:val="32"/>
        </w:rPr>
        <w:t>（</w:t>
      </w:r>
      <w:r>
        <w:rPr>
          <w:rFonts w:hint="default" w:ascii="Times New Roman" w:hAnsi="Times New Roman" w:eastAsia="方正楷体_GBK" w:cs="Times New Roman"/>
          <w:color w:val="000000"/>
          <w:kern w:val="0"/>
          <w:sz w:val="32"/>
          <w:szCs w:val="32"/>
          <w:lang w:val="en-US" w:eastAsia="zh-CN"/>
        </w:rPr>
        <w:t xml:space="preserve">2024</w:t>
      </w:r>
      <w:r>
        <w:rPr>
          <w:rFonts w:hint="eastAsia" w:ascii="方正楷体_GBK" w:hAnsi="方正楷体_GBK" w:eastAsia="方正楷体_GBK" w:cs="方正楷体_GBK"/>
          <w:color w:val="000000"/>
          <w:kern w:val="0"/>
          <w:sz w:val="32"/>
          <w:szCs w:val="32"/>
          <w:lang w:val="en-US" w:eastAsia="zh-CN"/>
        </w:rPr>
        <w:t xml:space="preserve">年 </w:t>
      </w:r>
      <w:r>
        <w:rPr>
          <w:rFonts w:hint="eastAsia" w:ascii="方正楷体_GBK" w:hAnsi="方正楷体_GBK" w:eastAsia="方正楷体_GBK" w:cs="方正楷体_GBK"/>
          <w:color w:val="000000"/>
          <w:kern w:val="0"/>
          <w:sz w:val="32"/>
          <w:szCs w:val="32"/>
        </w:rPr>
        <w:t>第</w:t>
      </w:r>
      <w:bookmarkStart w:id="0" w:name="_GoBack"/>
      <w:r>
        <w:rPr>
          <w:rFonts w:hint="eastAsia" w:ascii="方正楷体_GBK" w:hAnsi="方正楷体_GBK" w:eastAsia="方正楷体_GBK" w:cs="方正楷体_GBK"/>
          <w:color w:val="000000"/>
          <w:kern w:val="0"/>
          <w:sz w:val="32"/>
          <w:szCs w:val="32"/>
          <w:lang w:val="en-US" w:eastAsia="zh-CN"/>
        </w:rPr>
        <w:t xml:space="preserve">四</w:t>
      </w:r>
      <w:bookmarkEnd w:id="0"/>
      <w:r>
        <w:rPr>
          <w:rFonts w:hint="eastAsia" w:ascii="方正楷体_GBK" w:hAnsi="方正楷体_GBK" w:eastAsia="方正楷体_GBK" w:cs="方正楷体_GBK"/>
          <w:color w:val="000000"/>
          <w:kern w:val="0"/>
          <w:sz w:val="32"/>
          <w:szCs w:val="32"/>
        </w:rPr>
        <w:t>期）</w:t>
      </w:r>
    </w:p>
    <w:p w14:paraId="006FA456">
      <w:pPr>
        <w:widowControl/>
        <w:ind w:firstLine="160" w:firstLineChars="50"/>
        <w:jc w:val="left"/>
        <w:rPr>
          <w:rFonts w:eastAsia="仿宋_GB2312"/>
          <w:color w:val="000000"/>
          <w:kern w:val="0"/>
          <w:sz w:val="32"/>
          <w:szCs w:val="32"/>
        </w:rPr>
      </w:pPr>
    </w:p>
    <w:tbl>
      <w:tblPr>
        <w:tblStyle w:val="6"/>
        <w:tblW w:w="0" w:type="auto"/>
        <w:tblInd w:w="6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069"/>
        <w:gridCol w:w="4744"/>
      </w:tblGrid>
      <w:tr w14:paraId="62C0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trPr>
        <w:tc>
          <w:tcPr>
            <w:tcW w:w="4069" w:type="dxa"/>
            <w:noWrap w:val="0"/>
            <w:vAlign w:val="center"/>
          </w:tcPr>
          <w:p w14:paraId="0BA43F13">
            <w:pPr>
              <w:keepNext w:val="0"/>
              <w:keepLines w:val="0"/>
              <w:pageBreakBefore w:val="0"/>
              <w:widowControl/>
              <w:kinsoku/>
              <w:wordWrap/>
              <w:overflowPunct/>
              <w:topLinePunct w:val="0"/>
              <w:autoSpaceDE/>
              <w:autoSpaceDN/>
              <w:bidi w:val="0"/>
              <w:adjustRightInd w:val="0"/>
              <w:snapToGrid/>
              <w:spacing w:line="240" w:lineRule="auto"/>
              <w:ind w:left="210" w:leftChars="100" w:right="0" w:rightChars="0"/>
              <w:jc w:val="center"/>
              <w:textAlignment w:val="auto"/>
              <w:outlineLvl w:val="0"/>
              <w:rPr>
                <w:rFonts w:eastAsia="方正仿宋_GBK"/>
                <w:color w:val="000000"/>
                <w:kern w:val="0"/>
                <w:sz w:val="32"/>
                <w:szCs w:val="32"/>
                <w:vertAlign w:val="baseline"/>
              </w:rPr>
            </w:pPr>
            <w:r>
              <w:rPr>
                <w:rFonts w:eastAsia="方正仿宋_GBK"/>
                <w:color w:val="000000"/>
                <w:kern w:val="0"/>
                <w:sz w:val="32"/>
                <w:szCs w:val="32"/>
              </w:rPr>
              <w:t>金堂县疾病预防控制中心</w:t>
            </w:r>
          </w:p>
        </w:tc>
        <w:tc>
          <w:tcPr>
            <w:tcW w:w="4744" w:type="dxa"/>
            <w:noWrap w:val="0"/>
            <w:vAlign w:val="center"/>
          </w:tcPr>
          <w:p w14:paraId="49E907EE">
            <w:pPr>
              <w:keepNext w:val="0"/>
              <w:keepLines w:val="0"/>
              <w:pageBreakBefore w:val="0"/>
              <w:widowControl/>
              <w:kinsoku/>
              <w:wordWrap/>
              <w:overflowPunct/>
              <w:topLinePunct w:val="0"/>
              <w:autoSpaceDE/>
              <w:autoSpaceDN/>
              <w:bidi w:val="0"/>
              <w:adjustRightInd w:val="0"/>
              <w:snapToGrid/>
              <w:spacing w:line="240" w:lineRule="auto"/>
              <w:ind w:right="210" w:rightChars="100"/>
              <w:jc w:val="right"/>
              <w:textAlignment w:val="auto"/>
              <w:outlineLvl w:val="0"/>
              <w:rPr>
                <w:rFonts w:hint="default" w:eastAsia="方正仿宋_GBK"/>
                <w:color w:val="000000"/>
                <w:kern w:val="0"/>
                <w:sz w:val="32"/>
                <w:szCs w:val="32"/>
                <w:vertAlign w:val="baseline"/>
                <w:lang w:val="en-US" w:eastAsia="zh-CN"/>
              </w:rPr>
            </w:pPr>
            <w:r>
              <w:rPr>
                <w:rFonts w:hint="eastAsia" w:eastAsia="方正仿宋_GBK"/>
                <w:color w:val="000000"/>
                <w:kern w:val="0"/>
                <w:sz w:val="32"/>
                <w:szCs w:val="32"/>
                <w:lang w:val="en-US" w:eastAsia="zh-CN"/>
              </w:rPr>
              <w:t xml:space="preserve">二〇二四年一月二十九日</w:t>
            </w:r>
          </w:p>
        </w:tc>
      </w:tr>
    </w:tbl>
    <w:p w14:paraId="31BD9088">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eastAsia="仿宋_GB2312"/>
          <w:b w:val="0"/>
          <w:bCs/>
          <w:color w:val="000000"/>
          <w:kern w:val="0"/>
          <w:sz w:val="32"/>
          <w:szCs w:val="32"/>
        </w:rPr>
      </w:pPr>
      <w:r>
        <w:rPr>
          <w:rFonts w:eastAsia="仿宋_GB2312"/>
          <w:b w:val="0"/>
          <w:bCs/>
          <w:color w:val="000000"/>
          <w:kern w:val="0"/>
          <w:sz w:val="32"/>
          <w:szCs w:val="32"/>
        </w:rPr>
        <mc:AlternateContent>
          <mc:Choice Requires="wps">
            <w:drawing>
              <wp:anchor distT="0" distB="0" distL="114300" distR="114300" simplePos="0" relativeHeight="251659264" behindDoc="0" locked="0" layoutInCell="1" allowOverlap="1">
                <wp:simplePos x="0" y="0"/>
                <wp:positionH relativeFrom="column">
                  <wp:posOffset>-36195</wp:posOffset>
                </wp:positionH>
                <wp:positionV relativeFrom="paragraph">
                  <wp:posOffset>38100</wp:posOffset>
                </wp:positionV>
                <wp:extent cx="5615940" cy="0"/>
                <wp:effectExtent l="0" t="9525" r="3810" b="9525"/>
                <wp:wrapNone/>
                <wp:docPr id="1001" name="Line 6"/>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Line 6" o:spid="_x0000_s1026" o:spt="20" style="position:absolute;left:0pt;margin-left:-2.85pt;margin-top:3pt;height:0pt;width:442.2pt;z-index:251659264;mso-width-relative:page;mso-height-relative:page;" filled="f" stroked="t" coordsize="21600,21600" o:gfxdata="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Q3xqq9QAAAAGAQAADwAAAAAA&#10;AAABACAAAAAiAAAAZHJzL2Rvd25yZXYueG1sUEsBAhQAFAAAAAgAh07iQJwMIwbeAQAA2gMAAA4A&#10;AAAAAAAAAQAgAAAAIwEAAGRycy9lMm9Eb2MueG1sUEsFBgAAAAAGAAYAWQEAAHMFAAAAAA==&#10;">
                <v:fill on="f" focussize="0,0"/>
                <v:stroke weight="1.5pt" color="#FF0000" joinstyle="round"/>
                <v:imagedata o:title=""/>
                <o:lock v:ext="edit" aspectratio="f"/>
              </v:line>
            </w:pict>
          </mc:Fallback>
        </mc:AlternateContent>
      </w:r>
    </w:p>
    <w:p w14:paraId="42C87572">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一、全球疫情通报</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马拉维：2022年3月3日至2024年1月25日，马拉维累计报告65454例霍乱疑似病例，其中1771例死亡。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索马里：2024年第2周（1月8日至1月14日），索马里报告新增474例霍乱疑似病例，其中9例死亡。2024年1月1日至1月14日，该国累计报告980例霍乱疑似病例，其中12例死亡。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（来源：http://chinacustoms-strc.cn/hkzx/zhzx/yqzx/2024013112384090325/index.html）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泰国：2022年1月1日至2023年12月31日，泰国累计报告685例猴痘确诊病例，其中1例死亡。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越南：2022年1月1日至2023年12月31日，越南累计报告121例猴痘确诊病例，其中6例死亡。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（来源：http://chinacustoms-strc.cn/hkzx/zhzx/yqzx/2024013112384090325/index.html）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中国台湾：2024年第2周（1月7日至1月13日），中国台湾报告新增41例登革热确诊病例。2024年1月1日至1月13日，中国台湾累计报告100例登革热确诊病例，包括3例输入性病例。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阿富汗：2024年第3周（1月14日至1月20日），阿富汗报告新增50例登革热疑似病例。2024年1月1日至1月20日，该国累计报告136例登革热疑似病例，其中48例确诊。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（来源：http://chinacustoms-strc.cn/hkzx/zhzx/yqzx/2024013112384090325/index.html）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索马里：2024年第2周（1月8日至1月14日），索马里报告新增249例疟疾确诊病例。2024年1月1日至1月14日，该国累计报告535例疟疾确诊病例。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克里米亚-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（来源：http://chinacustoms-strc.cn/hkzx/zhzx/yqzx/2024013112384090325/index.html）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刚果出血热疫情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阿富汗：2024年第3周（1月14日至1月20日），阿富汗报告新增7例克里米亚-刚果出血热疑似病例。2024年1月1日至1月20日，该国累计报告20例克里米亚-刚果出血热疑似病例。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（来源：http://chinacustoms-strc.cn/hkzx/zhzx/yqzx/2024013112384090325/index.html）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喀麦隆：2023年1月1日至2024年1月11日，喀麦隆累计报告6786例麻疹疑似病例，其中6167例确诊。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科特迪瓦：2023年1月1日至2024年1月11日，科特迪瓦累计报告5225例麻疹疑似病例，其中1140例确诊。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（来源：http://chinacustoms-strc.cn/hkzx/zhzx/yqzx/2024013112384090325/index.html）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尼日利亚：2024年1月1日至1月20日，尼日利亚累计报告487例白喉病例，其中408例确诊，1例死亡。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（来源：http://chinacustoms-strc.cn/hkzx/zhzx/yqzx/2024013112384090325/index.html）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诺如病毒感染疫情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英国：2024年第2周（1月8日至1月14日），英国报告新增236例诺如病毒感染病例。2023年7月3日至2024年1月14日，该国累计报告3384例诺如病毒感染病例。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（来源：http://chinacustoms-strc.cn/hkzx/zhzx/yqzx/2024013112384090325/index.html）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轮状病毒感染疫情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英国：2024年第2周（1月8日至1月14日），英国报告新增37例轮状病毒感染病例。2023年7月3日至2024年1月14日，该国累计报告1117例轮状病毒感染病例。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（来源：http://chinacustoms-strc.cn/hkzx/zhzx/yqzx/2024013112384090325/index.html）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肠病毒感染疫情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中国澳门：2023年12月，中国澳门报告新增453例肠病毒感染病例，2023年累计报告5616例。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（来源：http://chinacustoms-strc.cn/hkzx/zhzx/yqzx/2024013112384090325/index.html）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肺结核疫情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中国澳门：2023年12月，中国澳门报告新增18例肺结核病例，2023年累计报告279例，其中1例死亡。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（来源：http://chinacustoms-strc.cn/hkzx/zhzx/yqzx/2024013112384090325/index.html）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猩红热疫情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中国澳门：2023年12月，中国澳门报告新增122例猩红热病例，2023年累计报告256例。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（来源：http://chinacustoms-strc.cn/hkzx/zhzx/yqzx/2024013112384090325/index.html）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海地：2022年10月2日至2024年1月15日，海地累计报告79055例霍乱疑似病例，其中4608例确诊，1163例死亡。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赞比亚：2023年10月1日至2024年1月24日，赞比亚累计报告13686例霍乱疑似病例，其中518例死亡。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（来源：http://chinacustoms-strc.cn/hkzx/zhzx/yqzx/2024013112384037501/index.html）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中国香港：2024年1月23日，中国香港报告新增1例猴痘确诊病例。2022年9月6日至2024年1月23日，中国香港累计报告56例猴痘确诊病例。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柬埔寨：2024年1月24日，柬埔寨报告新增1例猴痘确诊病例。2022年7月1日至2024年1月24日，该国累计报告5例猴痘确诊病例。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（来源：http://chinacustoms-strc.cn/hkzx/zhzx/yqzx/2024013112384037501/index.html）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尼日利亚：2024年第2周（1月8日至1月14日），尼日利亚报告新增296例拉沙热疑似病例，81例确诊，15例死亡。2024年1月1日至1月14日，该国累计报告486例拉沙热疑似病例，其中134例确诊，确诊病例中21例死亡。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（来源：http://chinacustoms-strc.cn/hkzx/zhzx/yqzx/2024013112384037501/index.html）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孟加拉国：2024年1月15日至1月21日，孟加拉国报告新增183例登革热确诊病例，7例死亡病例。2024年1月1日至1月21日，该国累计报告853例登革热确诊病例，其中14例死亡。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老挝：2024年第1周（1月1日至1月7日），老挝报告新增65例登革热确诊病例。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（来源：http://chinacustoms-strc.cn/hkzx/zhzx/yqzx/2024013112384037501/index.html）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澳大利亚：2023年12月11日至2024年1月7日，澳大利亚报告新增11153例流感确诊病例。2023年1月8日至2024年1月7日，该国累计报告290181例流感确诊病例。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（来源：http://chinacustoms-strc.cn/hkzx/zhzx/yqzx/2024013112384037501/index.html）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尼日利亚：2023年1月1日至2024年1月11日，尼日利亚累计报告18540例麻疹疑似病例，其中12154例确诊。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埃塞俄比亚：2023年1月1日至12月24日，埃塞俄比亚累计报告30389例麻疹疑似病例，其中233例死亡。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（来源：http://chinacustoms-strc.cn/hkzx/zhzx/yqzx/2024013112384037501/index.html）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白喉疫情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几内亚：2023年7月4日至12月31日，几内亚累计报告2240例白喉疑似病例，其中2081例确诊，85例死亡。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（来源：http://chinacustoms-strc.cn/hkzx/zhzx/yqzx/2024013112384037501/index.html）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蜱传脑炎疫情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瑞士：2024年1月9日至1月15日，瑞士报告新增3例蜱传脑炎病例。2024年1月1日至1月15日，该国累计报告5例蜱传脑炎病例。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（来源：http://chinacustoms-strc.cn/hkzx/zhzx/yqzx/2024013112384037501/index.html）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细菌性痢疾疫情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美国：2024年第2周（1月7日至1月13日），美国报告新增187例细菌性痢疾病例，2024年累计报告472例。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（来源：http://chinacustoms-strc.cn/hkzx/zhzx/yqzx/2024013112384037501/index.html）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流感嗜血杆菌感染疫情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美国：2024年第2周（1月7日至1月13日），美国报告新增86例流感嗜血杆菌感染病例，2024年累计报告196例。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（来源：http://chinacustoms-strc.cn/hkzx/zhzx/yqzx/2024013112384037501/index.html）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百日咳疫情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美国：2024年第2周（1月7日至1月13日），美国报告新增72例百日咳病例，2024年累计报告129例。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（来源：http://chinacustoms-strc.cn/hkzx/zhzx/yqzx/2024013112384037501/index.html）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阿富汗：2024年第2周（1月7日至1月13日），阿富汗报告新增2068例霍乱疑似病例，4例死亡病例。2024年1月1日至1月13日，该国累计报告4063例霍乱疑似病例，其中5例死亡。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（来源：http://chinacustoms-strc.cn/hkzx/zhzx/yqzx/2024013112384125921/index.html）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西班牙：2022年1月1日至2024年1月12日，西班牙累计报告7752例猴痘确诊病例，其中3例死亡。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法国：2022年1月1日至2024年1月12日，法国累计报告4171例猴痘确诊病例。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（来源：http://chinacustoms-strc.cn/hkzx/zhzx/yqzx/2024013112384125921/index.html）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尼日利亚：2024年1月10日至1月16日，尼日利亚报告新增6例Ⅱ型循环型疫苗衍生脊灰病毒（cVDPV2）病例。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南苏丹：2024年1月10日至1月16日，南苏丹报告新增1例Ⅱ型循环型疫苗衍生脊灰病毒（cVDPV2）病例。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（来源：http://chinacustoms-strc.cn/hkzx/zhzx/yqzx/2024013112384125921/index.html）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巴西：2024年1月7日至1月13日，巴西报告新增19653例登革热疑似病例。2024年1月1日至1月13日，该国累计报告66218例登革热疑似病例，其中16685例确诊，6例死亡。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哥伦比亚：2024年1月7日至1月13日，哥伦比亚报告新增6050例登革热疑似病例。2024年1月1日至1月13日，该国累计报告9798例登革热疑似病例，其中4111例确诊。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（来源：http://chinacustoms-strc.cn/hkzx/zhzx/yqzx/2024013112384125921/index.html）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疟疾疫情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埃塞俄比亚：2023年12月11日至12月17日，埃塞俄比亚报告新增116922例疟疾病例，9例死亡病例。2023年1月1日至12月17日，该国累计报告3705401例疟疾病例，其中469例死亡。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（来源：http://chinacustoms-strc.cn/hkzx/zhzx/yqzx/2024013112384125921/index.html）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裂谷热疫情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科摩罗：2023年10月21日至2024年1月12日，科摩罗累计报告471例裂谷热疑似病例，其中9例死亡。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（来源：http://chinacustoms-strc.cn/hkzx/zhzx/yqzx/2024013112384125921/index.html）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美国：2024年第2周（1月7日至1月13日），美国报告新增13006例流感确诊病例。2023年10月1日至2024年1月13日，该国累计报告139669例流感确诊病例，包括112121例甲型流感病例，27548例乙型流感病例。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（来源：http://chinacustoms-strc.cn/hkzx/zhzx/yqzx/2024013112384125921/index.html）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伊拉克：2023年1月1日至2024年1月11日，伊拉克累计报告6307例麻疹疑似病例，其中4406例确诊。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苏丹：2023年1月1日至2024年1月11日，苏丹累计报告4954例麻疹疑似病例，其中4211例确诊。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（来源：http://chinacustoms-strc.cn/hkzx/zhzx/yqzx/2024013112384125921/index.html）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军团菌病疫情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中国香港：2024年1月7日至1月20日，中国香港报告新增2例军团菌病病例，2024年累计报告3例。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中国台湾：2024年第2周（1月7日至1月13日），中国台湾报告新增21例军团菌病病例，2024年累计报告36例。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（来源：http://chinacustoms-strc.cn/hkzx/zhzx/yqzx/2024013112384125921/index.html）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中国台湾：2024年第2周（1月7日至1月13日），中国台湾报告新增8例丙型肝炎病例，2024年累计报告20例。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（来源：http://chinacustoms-strc.cn/hkzx/zhzx/yqzx/2024013112384125921/index.html）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中国台湾：2024年第2周（1月7日至1月13日），中国台湾报告新增8例流行性腮腺炎病例，2024年累计报告13例。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（来源：http://chinacustoms-strc.cn/hkzx/zhzx/yqzx/2024013112384125921/index.html）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布隆迪：2023年1月1日至2024年1月7日，布隆迪累计报告1382例霍乱疑似病例，其中175例确诊，9例死亡。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尼日利亚：2023年第48周至第52周（11月27日至12月31日），尼日利亚报告新增52例霍乱疑似病例，其中4例死亡。2023年1月1日至12月31日，该国累计报告3683例霍乱疑似病例，其中128例死亡。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（来源：http://chinacustoms-strc.cn/hkzx/zhzx/yqzx/2024012508502769150/index.html）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黄热病疫情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南苏丹：2024年1月13日至1月20日，南苏丹报告新增2例黄热病病例。2023年12月6日至2024年1月20日，该国西赤道州三个县累计报告20例黄热病病例，其中1例确诊，5例死亡。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塞内加尔：2023年12月27日，塞内加尔通报该国凯杜古大区报告2例黄热病确诊病例。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（来源：http://chinacustoms-strc.cn/hkzx/zhzx/yqzx/2024012508502769150/index.html）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猴痘疫情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刚果民主共和国：2023年1月1日至12月24日，刚果民主共和国累计报告14200例猴痘病例，其中1215例确诊，715例死亡。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喀麦隆：2023年1月1日至12月24日，喀麦隆累计报告140例猴痘病例，其中27例确诊。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（来源：http://chinacustoms-strc.cn/hkzx/zhzx/yqzx/2024012508502769150/index.html）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刚果民主共和国：2024年1月10日至1月16日，刚果民主共和国报告新增4例Ⅰ型循环型疫苗衍生脊灰病毒（cVDPV1）病例和1例Ⅱ型循环型疫苗衍生脊灰病毒（cVDPV2）病例。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莫桑比克：2024年1月10日至1月16日，莫桑比克报告新增1例Ⅰ型循环型疫苗衍生脊灰病毒（cVDPV1）病例。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（来源：http://chinacustoms-strc.cn/hkzx/zhzx/yqzx/2024012508502769150/index.html）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马来西亚：2024年第2周（1月7日至1月13日），马来西亚报告新增3525例登革热疑似病例，2例死亡病例。2024年1月1日至1月13日，该国累计报告6706例登革热疑似病例，其中2例死亡。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斯里兰卡：2024年第2周（1月8日至1月14日），斯里兰卡报告新增2951例登革热疑似病例。2024年1月1日至1月14日，该国累计报告6689例登革热疑似病例，其中1例死亡。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（来源：http://chinacustoms-strc.cn/hkzx/zhzx/yqzx/2024012508502769150/index.html）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哥伦比亚：2024年1月1日至1月13日，哥伦比亚累计报告11例寨卡病毒病疑似病例。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秘鲁：2024年1月1日至1月13日，秘鲁累计报告2例寨卡病毒病疑似病例。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（来源：http://chinacustoms-strc.cn/hkzx/zhzx/yqzx/2024012508502769150/index.html）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孟加拉国：2023年1月1日至2024年1月11日，孟加拉国累计报告7013例麻疹疑似病例，其中263例确诊。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吉尔吉斯斯坦：2023年1月1日至2024年1月11日，吉尔吉斯斯坦累计报告6437例麻疹疑似病例，其中5486例确诊。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（来源：http://chinacustoms-strc.cn/hkzx/zhzx/yqzx/2024012508502769150/index.html）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日本：2024年第2周（1月8日至1月14日），日本报告新增209例结核病病例，2024年累计报告299例。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（来源：http://chinacustoms-strc.cn/hkzx/zhzx/yqzx/2024012508502769150/index.html）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肠出血性大肠杆菌感染疫情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日本：2024年第2周（1月8日至1月14日），日本报告新增16例肠出血性大肠杆菌感染病例，2024年累计报告27例。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（来源：http://chinacustoms-strc.cn/hkzx/zhzx/yqzx/2024012508502769150/index.html）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恙虫病疫情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日本：2024年第2周（1月8日至1月14日），日本报告新增15例恙虫病病例，2024年累计报告22例。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（来源：http://chinacustoms-strc.cn/hkzx/zhzx/yqzx/2024012508502769150/index.html）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霍乱疫情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赞比亚：2023年10月1日至2024年1月19日，赞比亚累计报告11304例霍乱疑似病例，其中448例死亡。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肯尼亚：2024年1月1日至1月12日，肯尼亚累计报告50例霍乱确诊病例。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（来源：http://chinacustoms-strc.cn/hkzx/zhzx/yqzx/2024012508503021180/index.html）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拉沙热疫情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尼日利亚：2024年第1周（1月1日至1月7日），尼日利亚报告新增190例拉沙热疑似病例，其中53例确诊，6例死亡。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（来源：http://chinacustoms-strc.cn/hkzx/zhzx/yqzx/2024012508503021180/index.html）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脊髓灰质炎疫情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乍得：2024年1月10日至1月16日，乍得报告新增1例Ⅱ型循环型疫苗衍生脊灰病毒（cVDPV2）病例。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科特迪瓦：2024年1月10日至1月16日，科特迪瓦报告新增1例Ⅱ型循环型疫苗衍生脊灰病毒（cVDPV2）病例。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（来源：http://chinacustoms-strc.cn/hkzx/zhzx/yqzx/2024012508503021180/index.html）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登革热疫情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越南：2023年1月1日至12月27日，越南累计报告166619例登革热疑似病例，其中42例死亡。</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柬埔寨：2023年1月1日至12月30日，柬埔寨累计报告35390例登革热疑似病例，其中99例死亡。累计病例数较2022年同期（12985例）增长172.5%。</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（来源：http://chinacustoms-strc.cn/hkzx/zhzx/yqzx/2024012508503021180/index.html）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西方马脑炎疫情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阿根廷：2023年11月26日至2024年1月19日，阿根廷13个省累计报告165例西方马脑炎疑似病例，其中31例确诊，确诊病例中1例死亡。确诊病例分布于布宜诺斯艾利斯省（19例）、圣菲省（10例）、恩特雷里奥斯省（1例）和圣地亚哥-德尔埃斯特罗省（1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（来源：http://chinacustoms-strc.cn/hkzx/zhzx/yqzx/2024012508503021180/index.html）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寨卡病毒病疫情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泰国：2024年1月1日至1月3日，泰国东北部地区报告新增19例寨卡病毒病确诊病例，分布于素林府（14例）和呵叻府（5例）。大部分病例年龄为14岁以下。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（来源：http://chinacustoms-strc.cn/hkzx/zhzx/yqzx/2024012508503021180/index.html）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麻疹疫情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马来西亚：2023年1月1日至2024年1月11日，马来西亚累计报告8273例麻疹疑似病例，其中1200例确诊。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菲律宾：2023年1月1日至2024年1月11日，菲律宾累计报告4595例麻疹疑似病例，其中2435例确诊。</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（来源：http://chinacustoms-strc.cn/hkzx/zhzx/yqzx/2024012508503021180/index.html）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流感疫情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加拿大：2024年第2周（1月7日至1月13日），加拿大报告新增4646例流感确诊病例。2023年8月27日至2024年1月13日，该国累计报告49440例流感确诊病例，其中97%为甲型流感病例。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（来源：http://chinacustoms-strc.cn/hkzx/zhzx/yqzx/2024012508503021180/index.html）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鹦鹉热疫情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瑞典：2023年1月1日至12月31日，瑞典累计报告62例鹦鹉热病例。自2016年以来，该国鹦鹉热病例明显增加。</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（来源：http://chinacustoms-strc.cn/hkzx/zhzx/yqzx/2024012508503021180/index.html）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结核病疫情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韩国：2024年第2周（1月7日至1月13日），韩国报告新增352例结核病病例，2024年累计报告658例。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（来源：http://chinacustoms-strc.cn/hkzx/zhzx/yqzx/2024012508503021180/index.html）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流行性腮腺炎疫情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韩国：2024年第2周（1月7日至1月13日），韩国报告新增91例流行性腮腺炎病例，2024年累计报告163例。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（来源：http://chinacustoms-strc.cn/hkzx/zhzx/yqzx/2024012508503021180/index.html）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丙型肝炎疫情</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韩国：2024年第2周（1月7日至1月13日），韩国报告新增128例丙型肝炎病例，2024年累计报告239例。</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（来源：http://chinacustoms-strc.cn/hkzx/zhzx/yqzx/2024012508503021180/index.html）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二、国内疾控动态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2024年全国疾病预防控制工作会议召开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1月25日，全国疾病预防控制工作会议在北京召开。会议坚持以习近平新时代中国特色社会主义思想为指导，全面贯彻落实党的二十大和二十届二中全会精神，深入学习贯彻习近平总书记关于疾病预防控制工作系列重要论述，回顾总结2023年疾控工作情况，安排部署2024年重点工作。会议宣读了国家卫生健康委党组书记、主任马晓伟的书面讲话。国家卫生健康委党组成员、副主任，国家疾控局党组书记、局长王贺胜出席会议并讲话。马晓伟强调，党中央、国务院高度重视疾控工作，习近平总书记作出系列重要指示批示，为疾控事业改革发展指明了前进方向，提供了根本遵循。全国疾控系统要坚持以习近平新时代中国特色社会主义思想为指导，加强党的领导，把党的政治建设摆在首位，锻造一支忠诚干净担当、无私干事创业的疾控队伍。要坚持改革创新，用好政策、乘势突破，为疾控事业发展注入强大动力。要坚持协调联动，创新医防协同、医防融合机制，为构建强大的公共卫生体系夯实中坚力量。要坚持系统谋划，持续巩固新冠等重点传染病防控成效，为健康中国建设贡献更大力量。会议指出，2023年全国疾控系统坚决贯彻习近平总书记重要指示批示和党中央、国务院决策部署，全力以赴抓落实、聚精会神谋发展，各项工作取得明显成效。有力有序应对新冠等呼吸道传染病疫情，有力支撑在较短时间内实现新冠疫情防控平稳转段，疫情防控成果持续巩固，多病同防机制不断健全。加快推进地方疾控机构改革，推动出台疾控事业高质量发展纲领性文件，积极探索医防协同、医防融合机制创新，体系重塑取得重大进展。聚焦主责主业补短板强弱项，一批重大工程项目落地实施，传染病监测预警、应急处置等疾控核心能力明显提升。及时有效应对鼠疫、猴痘、登革热等新发突发传染病疫情，持续强化艾滋病、结核病等重大传染病防治，巩固重点寄生虫病和地方病防治成果，统筹推进综合监督和公共卫生等工作。扎实开展主题教育，持续强化疾控系统党的建设，疾控队伍凝聚力、战斗力不断增强。当前，新冠疫情处于低流行水平，全国传染病疫情形势总体平稳，为经济持续回升向好、社会平稳运行贡献了疾控力量。会议强调，以习近平同志为核心的党中央就构建强大的公共卫生体系作出一系列重要论述，就改革完善疾控体系提出了一系列新思想、新理念、新论断，要持续深入学习领会、完整准确全面把握，从健全协同高效的疾控体系、构建灵敏准确的监测体系、因时因势优化传染病防治策略、提升快速响应的应急能力、夯实强大的法治、科技和人才基础等方面协同发力，正确处理好“稳”与“进”、“公益”与“活力”、“医”与“防”、“质”与“量”等重要关系，统筹谋划、整体推进，确保疾控工作始终沿着习近平总书记指引的方向不断前进、行稳致远。会议指出，2024年全国疾控系统要深入贯彻习近平总书记系列重要指示批示和党的二十大精神，按照党中央、国务院决策部署，以加快推动疾控事业高质量发展为主线，全面提升疾控体系能力水平，统筹做好新冠病毒感染和其他传染病防控工作，为保护人民生命健康、保障公共卫生安全、维护经济社会稳定提供有力支持。一是全力抓好推动疾控事业高质量发展的指导意见宣贯落实，加快推动国家区域公共卫生中心建设等项目落地实施，谋划开展“十五五”事业发展规划前期研究。二是加快推进地方疾控机构改革任务落地见效，推动医防协同、医防融合等机制创新，扩大医防协同融合试点和医疗机构疾控监督员制度试点范围，推进传染病医疗机构创新发展。三是固化新冠疫情防控经验做法，完善传染病防控长效机制，强化监测预警和风险评估，加快推动智慧化多点触发传染病监测预警体系建设，做好新发突发传染病疫情应对准备，强化灾后卫生防疫工作，加强重大会议活动防控保障。四是优化艾滋病、结核病、病毒性肝炎、重点寄生虫病、地方病等重大疾病防控策略，持续巩固防控成效。五是不断提升免疫规划工作质量，加强信息化建设。深入实施环境健康公共卫生干预措施，进一步做好学校卫生工作，健全完善伤害防控工作机制。六是推进卫生监督机构规范化建设和信息化建设，扎实做好医疗机构传染病防治监督、公共卫生监督等工作，持续提升综合监督执法效能。七是不断夯实疾控法治、科技、人才支撑保障，建强宣传教育阵地，用好考核评价“指挥棒”，加强国际合作交流。会议要求，全国疾控系统要把坚持党的全面领导和党中央集中统一领导贯穿于疾控事业改革发展各方面、全过程，坚定捍卫“两个确立”、坚决做到“两个维护”。要强化理论武装和思想引领，持续巩固拓展主题教育成果，加强新时期疾控文化建设，坚决筑牢理想信念根基。加强基层党组织建设，不断增强基层党组织的政治功能和组织功能。深入推进全面从严治党，常态长效深化落实中央八项规定精神，营造风清气正的政治生态和干事创业的良好氛围。会议强调，要切实抓好岁末年初重点工作，强化春节前后呼吸道传染病防控，抓好各项防控措施落实，密切监测疫情形势，强化值班值守，保障假期疫情形势总体平稳。要将安全生产工作摆在更加突出的位置，时刻绷紧安全生产这根弦，落实“三管三必须”要求，全面排查整治各类风险隐患，坚决遏制重特大事故发生。会议由国家疾控局副局长常继乐主持，副局长沈洪兵、孙阳、卢江出席。北京、上海、浙江、山东、河南、湖北、四川、甘肃等省（市）疾控局主要负责同志作交流发言。中央和国家机关有关部门负责同志，中央纪委国家监委驻国家卫生健康委纪检监察组负责同志，国家疾控局机关各部门、直属联系单位负责同志，各省（区、市）及新疆生产建设兵团疾控局负责同志参加会议。</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（来源：https://www.ndcpa.gov.cn/jbkzzx/c100008/common/content/content_1750505684939493376.html）</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黑体_GBK" w:cs="方正仿宋_GBK"/>
          <w:b/>
          <w:color w:val="000000"/>
          <w:kern w:val="0"/>
          <w:sz w:val="28"/>
          <w:szCs w:val="32"/>
          <w:lang w:val="en-US" w:eastAsia="zh-CN"/>
        </w:rPr>
        <w:t xml:space="preserve">三、省内疾控动态</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阿坝州疾控中心2024年世界防治麻风病日主题活动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进一步做好我州麻风病防治工作，持续巩固消除麻风病危害防治成果，推进“十四五”期间麻风病防治工作，动员社会关爱麻风病患者，普及我州麻风病防治知识，提高广大群众对麻风病的认识、体现全社会对麻风病人的关爱，在第71届“世界防治麻风病日”、暨第37届“中国麻风节”到来之际，由阿坝州疾病预防控制中心皮防所牵头，联合汶川县卫健局、汶川县疾控中心及汶川县威州镇中心卫生院于2024年1月23日在汶川县广场举行了以“ 全面消除麻风危害，促进社会文明进步”为主题的麻风病防治知识宣传活动。本次活动是以“麻风病可防可治不可怕”为核心内容的宣传活动，普及了麻风病防治知识。主要宣传了什么是麻风病、麻风病如何传染、麻风病的治疗、国家对麻风病的免费政策、愈后麻风病残疾病人的康复等；本次宣传共计发放麻风病宣传折页340份、宣传单200份、手提袋200根、围裙100条、漱口杯50个、宣传海报60张、横幅2条，现场接受咨询100余人次。通过本次对麻风病防治知识的宣传，老百姓了解了国家对麻风病的防治政策、引导公众转变观念，消除对麻风病患者及畸残者的歧视和偏见，唤起公众对他们的关爱、弘扬尊重和关爱麻风病患者的社会风尚、让麻风病人感受到了党和政府的关心和关怀，促进社会的和谐发展，达到了本次宣传的目的。</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（来源：https://www.sccdc.cn/Article/View?id=32911）</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达州市2024年世界麻风病日现场宣传暨走访慰问活动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有效推动“走基层、办实事、送温暖”活动走深走实。在第71届“世界防治麻风病日”暨第37届“中国麻风节”到来之际，达州市疾控中心党委委员、副主任郭皓同志带队深入开江县开展2024年麻风病日现场宣传暨走访慰问活动。郭皓同志在开江县淙城街道清河广场，与开江县卫健局、县疾控中心、淙城街道及新宁社区卫生服务中心的医务人员们一起，开展以“全面消除麻风危害 促进社会文明进步”为主题的现场宣传及义诊活动。活动现场，为前来咨询的群众发放宣传资料，讲解麻风病常见症状、传播途径、防控措施等健康知识。郭皓同志还在宣传现场慰问了麻风病防治医务人员代表，勉励他们继续加强麻风病防治工作，把麻风病的防治科普宣传与日常宣传有机结合，加大对麻风病患者、康复者的关爱，进一步消除社会歧视，不断提高他们的生活品质。郭皓同志在走访慰问麻风病康复者中，与他们进行了亲切交谈，详细了解他们在医疗、康复、生活等方面的实际问题，叮嘱他们保重身体，鼓励他们积极乐观面对生活，并为他们送上慰问金和花生油、大米等生活物品。本次“走基层、送温暖、办实事”现场宣传暨走访慰问活动，既体现了党委政府对特殊群体的关心关爱，又让广大群众了解了什么是麻风病、麻风病的早期如何发现、麻风病的传播途径等麻风病核心防控知识，为全面消除麻风危害促进社会文明进步贡献疾控力量。</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（来源：https://www.sccdc.cn/Article/View?id=32896）</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第八届“万步有约”健走激励大赛内江赛区总结会圆满召开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2024年1月17日，第八届“万步有约”健走激励大赛内江赛区总结会在内江甜城国际酒店隆重召开。第八届“万步有约”健走激励大赛内江赛区共有五个县（市、区）2118人参赛精英赛，6680人参加拓展赛，参赛人数规模和影响力空前。总结会上，市疾控中心党委书记、主任余忠发表了热情洋溢的致辞。他指出，2023年，我市市、县各单位积极响应活动号召，精心组织，广泛动员，开展了形式多样的健走活动，亮点纷呈，特色鲜明，并呈现出“三个新突破”：一是竞赛覆盖面实现新突破，参赛总人数创历史新高；二是竞赛成绩取得新突破，获奖单位、获奖人数明显增多；三是竞赛效果取得新突破，参赛队员们通过此次健走大赛，收获了“加减乘除”的效果，取得了显著的健康效应。四川省疾病预防控制中心副主任钟波也特意采取网络连线的方式为内江赛区活动的成功举办表示祝贺。她强调，当前我省慢性病所致死亡占全死亡病例的90%以上，为社会经济带来沉重负担，缺乏身体活动是重要的慢性病行为危险因素，健走对提高人群的有效锻炼水平，具有非常重要的公共卫生学意义。市卫生健康委党委委员、副主任彭庆宣读了第八届“万步有约”健走激励大赛内江赛区市级获奖名单。鼓励大家以比赛带动运动，不断增强身体体质，保持身体健康。市疾控中心副主任黎雪梅对第八届“万步有约”健走激励大赛内江赛区工作情况进行了总结，并提出，希望在未来的“万步有约”大赛中，各个县（市、区）能够持续丰富万步有约的内涵，深入探索建立常态化发展机制，持续组织更大规模职业人群参与进来，致力于高质量推进大赛活动，为慢性病防控和健康内江建设做出贡献。会上还为荣获市级优秀组织单位奖、市级团体奖和个人奖的代表颁发了奖状和奖品全国百强健走促进县区获得者（市中区）、全国优秀健走促进单位奖获得者（威远县严陵镇人民政府）的代表进行了交流发言。总结会的顺利召开标志着本届大赛迎来完美收官。在未来的赛事中，内江市将继续探索大赛活动与慢性病健康促进模式的有机融合，助力“健康内江”建设。</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（来源：https://www.sccdc.cn/Article/View?id=32891）</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攀枝花市疾控中心开展2023年岁末年初防震减灾工作会议及应急疏散演练活动</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为进一步加强防震减灾安全工作，提高防震减灾安全意识，掌握基本的应急避险知识和技能。2023年12月27日上午，攀枝花市疾控中心在三楼大会议室举办2023年岁末年初防震减灾工作会议，并于12月28日下午，开展了防震减灾应急避险演练，中心全体职工参加。会议环节，攀枝花市疾控中心副主任雷茹传达了全市卫生健康系统岁末年初防震减灾工作会议精神，结合中心实际对完善应急预案、激活应急机制、加强应急物资储备、做好正面宣传和培训演练等工作进行安排部署。并着重讲解了甘肃地震灾害事故案例，以案促教，培训应急避险知识。演练环节，中心职工在办公室内完成了紧急避险演练环节，在室外进行了发生地震灾害时应急疏散等实战演练。演练结束后，攀枝花市疾控中心副主任雷茹强调：一要提高对防震减灾演练的重视，积极做好应对准备工作；二要做好应急物资储备，做到既能满足自己也能满足他人；三要注意疏散场地选在空旷区域，避免疏散后因墙体和大树倒塌而产生次生灾害。通过此次活动，进一步提高了中心职工对防震减灾安全重要性的认识，了解了应急避险常识，做好了应急物资储备、提升了应急人员急救能力。</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（来源：https://www.sccdc.cn/Article/View?id=32880）</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440" w:lineRule="exact"/>
        <w:jc w:val="center"/>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b/>
          <w:color w:val="000000"/>
          <w:kern w:val="0"/>
          <w:sz w:val="24"/>
          <w:szCs w:val="32"/>
          <w:lang w:val="en-US" w:eastAsia="zh-CN"/>
        </w:rPr>
        <w:t xml:space="preserve">遂宁市疾控中心召开2023年度述职测评暨2024年工作谋划部署专题会</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48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000000"/>
          <w:kern w:val="0"/>
          <w:sz w:val="21"/>
          <w:szCs w:val="32"/>
          <w:lang w:val="en-US" w:eastAsia="zh-CN"/>
        </w:rPr>
        <w:t xml:space="preserve">1月18日，市疾控中心召开中层以上领导干部述职测评暨2024年工作谋划部署专题会。会上，全体中层干部依次走上讲台，紧扣2023年度目标任务，聚焦工作亮点，剖析存在问题，全面、客观的总结，并对2024年重点工作进行谋划。他们说成绩：图文并茂、数据详实、亮点纷呈、荣誉满满，侃侃而谈，充满激情；谈不足：实事求是、反躬自省；谋新局：思路清晰、目标明确、言简意赅。大家通过晒成绩、找差距、说打算，达到了相互交流、相互学习、相互促进的目的。述职结束后，分管领导就分管科室述职报告依次进行了点评，指出了各科室工作的亮点和不足，针对不足提出了整改要求，并对2024年重点工作进行了安排部署。最后，中心党支部书记、主任刘文武从“政治站位全面提升、党建业务深度融合、队伍建设成效明显、疾控文化亮点纷呈”肯定了各科室2023年的辛勤付出，并对2024年提出了更高的要求：2024年中心将以疾控标准化建设为抓手，加强资源统筹，以补短板、锻长板、扬优势、提能力为重点，紧紧围绕中心“1+5”工作目标，尽职履责，努力将疾控中心由四川盆地中部低洼地带打造成区域疾控高地，夯实疾控中心高质量发展内涵，推动疾控又好又快发展。会后，全体职工根据日常履职能力、工作执行力、协调统筹能力、现场汇报情况等进行民主测评，测评结果作为年度考核的依据之一。</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ind w:firstLine="0"/>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Times New Roman" w:hAnsi="Times New Roman" w:eastAsia="方正仿宋_GBK" w:cs="方正仿宋_GBK"/>
          <w:color w:val="808080"/>
          <w:kern w:val="0"/>
          <w:sz w:val="19"/>
          <w:szCs w:val="32"/>
          <w:lang w:val="en-US" w:eastAsia="zh-CN"/>
        </w:rPr>
        <w:t xml:space="preserve">（来源：https://www.sccdc.cn/Article/View?id=32874）</w:t>
      </w:r>
    </w:p>
    <w:p>
      <w:pPr>
        <w:keepNext w:val="0"/>
        <w:keepLines w:val="0"/>
        <w:pageBreakBefore w:val="0"/>
        <w:widowControl/>
        <w:tabs>
          <w:tab w:val="center" w:pos="4153"/>
          <w:tab w:val="left" w:pos="9000"/>
        </w:tabs>
        <w:kinsoku/>
        <w:wordWrap/>
        <w:overflowPunct/>
        <w:topLinePunct w:val="0"/>
        <w:autoSpaceDE/>
        <w:autoSpaceDN/>
        <w:bidi w:val="0"/>
        <w:adjustRightInd/>
        <w:snapToGrid/>
        <w:spacing w:line="360" w:lineRule="exact"/>
        <w:jc w:val="left"/>
        <w:textAlignment w:val="auto"/>
        <w:rPr>
          <w:rFonts w:hint="eastAsia" w:ascii="方正仿宋_GBK" w:hAnsi="方正仿宋_GBK" w:eastAsia="方正仿宋_GBK" w:cs="方正仿宋_GBK"/>
          <w:color w:val="000000"/>
          <w:kern w:val="0"/>
          <w:sz w:val="32"/>
          <w:szCs w:val="32"/>
          <w:lang w:val="en-US" w:eastAsia="zh-CN"/>
        </w:rPr>
      </w:pPr>
      <w:r>
        <w:rPr>
          <w:rFonts w:hint="eastAsia" w:ascii="方正仿宋_GBK" w:hAnsi="方正仿宋_GBK" w:eastAsia="方正仿宋_GBK" w:cs="方正仿宋_GBK"/>
          <w:color w:val="000000"/>
          <w:kern w:val="0"/>
          <w:sz w:val="32"/>
          <w:szCs w:val="32"/>
          <w:lang w:val="en-US" w:eastAsia="zh-CN"/>
        </w:rPr>
        <w:t xml:space="preserve"/>
      </w:r>
    </w:p>
    <w:sectPr>
      <w:headerReference r:id="rId3" w:type="default"/>
      <w:pgSz w:w="11906" w:h="16838"/>
      <w:pgMar w:top="2098" w:right="1474" w:bottom="1985"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altName w:val="Malgun Gothic"/>
    <w:panose1 w:val="02030600000101010101"/>
    <w:charset w:val="81"/>
    <w:family w:val="roman"/>
    <w:pitch w:val="default"/>
    <w:sig w:usb0="00000000" w:usb1="00000000" w:usb2="00000030" w:usb3="00000000" w:csb0="4008009F" w:csb1="DFD70000"/>
  </w:font>
  <w:font w:name="方正行楷_GBK">
    <w:altName w:val="楷体_GB2312"/>
    <w:panose1 w:val="03000509000000000000"/>
    <w:charset w:val="86"/>
    <w:family w:val="script"/>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8F72">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2MDA4YTJiMWY2NWVkNmYxZDdkMjAwMDY0ZTMyM2IifQ=="/>
  </w:docVars>
  <w:rsids>
    <w:rsidRoot w:val="009B17AC"/>
    <w:rsid w:val="00020845"/>
    <w:rsid w:val="0003131C"/>
    <w:rsid w:val="00040467"/>
    <w:rsid w:val="0006644A"/>
    <w:rsid w:val="00091111"/>
    <w:rsid w:val="00092CE5"/>
    <w:rsid w:val="000A20BF"/>
    <w:rsid w:val="000A3CAC"/>
    <w:rsid w:val="000C3262"/>
    <w:rsid w:val="000F6A15"/>
    <w:rsid w:val="0010293C"/>
    <w:rsid w:val="001037A6"/>
    <w:rsid w:val="0011630C"/>
    <w:rsid w:val="00164FD5"/>
    <w:rsid w:val="001673A5"/>
    <w:rsid w:val="001742CC"/>
    <w:rsid w:val="00183D80"/>
    <w:rsid w:val="00185647"/>
    <w:rsid w:val="001A2E5E"/>
    <w:rsid w:val="001D580F"/>
    <w:rsid w:val="001E3F72"/>
    <w:rsid w:val="002025F0"/>
    <w:rsid w:val="00214C49"/>
    <w:rsid w:val="00216C84"/>
    <w:rsid w:val="00240798"/>
    <w:rsid w:val="002770FE"/>
    <w:rsid w:val="002945BE"/>
    <w:rsid w:val="002A4A0D"/>
    <w:rsid w:val="002B31C4"/>
    <w:rsid w:val="002E67E1"/>
    <w:rsid w:val="003011E4"/>
    <w:rsid w:val="00303C63"/>
    <w:rsid w:val="00326605"/>
    <w:rsid w:val="0033417D"/>
    <w:rsid w:val="00344887"/>
    <w:rsid w:val="00371938"/>
    <w:rsid w:val="00375E07"/>
    <w:rsid w:val="00380924"/>
    <w:rsid w:val="0039057B"/>
    <w:rsid w:val="003A6E97"/>
    <w:rsid w:val="003B4EB7"/>
    <w:rsid w:val="003B6F3F"/>
    <w:rsid w:val="003B785D"/>
    <w:rsid w:val="003D621D"/>
    <w:rsid w:val="003F6436"/>
    <w:rsid w:val="00417A50"/>
    <w:rsid w:val="00451147"/>
    <w:rsid w:val="004836EB"/>
    <w:rsid w:val="00491D2C"/>
    <w:rsid w:val="0049254E"/>
    <w:rsid w:val="00511615"/>
    <w:rsid w:val="00514468"/>
    <w:rsid w:val="0052083C"/>
    <w:rsid w:val="005264F5"/>
    <w:rsid w:val="00534A97"/>
    <w:rsid w:val="005405FA"/>
    <w:rsid w:val="0055420E"/>
    <w:rsid w:val="00555F6C"/>
    <w:rsid w:val="00570F51"/>
    <w:rsid w:val="005B141D"/>
    <w:rsid w:val="006013AD"/>
    <w:rsid w:val="00605773"/>
    <w:rsid w:val="006321D9"/>
    <w:rsid w:val="00634FB2"/>
    <w:rsid w:val="00653B67"/>
    <w:rsid w:val="00692B69"/>
    <w:rsid w:val="006A50F5"/>
    <w:rsid w:val="006A53E7"/>
    <w:rsid w:val="006C39D8"/>
    <w:rsid w:val="006C5E93"/>
    <w:rsid w:val="007421CD"/>
    <w:rsid w:val="00743358"/>
    <w:rsid w:val="00743BA3"/>
    <w:rsid w:val="00744EC2"/>
    <w:rsid w:val="007477CD"/>
    <w:rsid w:val="007478E4"/>
    <w:rsid w:val="0075449E"/>
    <w:rsid w:val="0075519E"/>
    <w:rsid w:val="007631EC"/>
    <w:rsid w:val="00764C58"/>
    <w:rsid w:val="007A4530"/>
    <w:rsid w:val="007A7421"/>
    <w:rsid w:val="007A7A0C"/>
    <w:rsid w:val="007B3DE4"/>
    <w:rsid w:val="007B73C3"/>
    <w:rsid w:val="007C0A30"/>
    <w:rsid w:val="00843B2B"/>
    <w:rsid w:val="00896403"/>
    <w:rsid w:val="00896B9A"/>
    <w:rsid w:val="008B5FEE"/>
    <w:rsid w:val="008B6915"/>
    <w:rsid w:val="008D336C"/>
    <w:rsid w:val="008E243A"/>
    <w:rsid w:val="008E4CDA"/>
    <w:rsid w:val="00904409"/>
    <w:rsid w:val="009342C9"/>
    <w:rsid w:val="00950447"/>
    <w:rsid w:val="009535F8"/>
    <w:rsid w:val="009721CF"/>
    <w:rsid w:val="0097633B"/>
    <w:rsid w:val="009771B6"/>
    <w:rsid w:val="00990BB8"/>
    <w:rsid w:val="00991C37"/>
    <w:rsid w:val="00995D60"/>
    <w:rsid w:val="00997BEA"/>
    <w:rsid w:val="009B17AC"/>
    <w:rsid w:val="009D1DDA"/>
    <w:rsid w:val="009E12C5"/>
    <w:rsid w:val="009F1543"/>
    <w:rsid w:val="009F1858"/>
    <w:rsid w:val="00A143DB"/>
    <w:rsid w:val="00A2327F"/>
    <w:rsid w:val="00A372C5"/>
    <w:rsid w:val="00A63900"/>
    <w:rsid w:val="00A9471E"/>
    <w:rsid w:val="00AB2C63"/>
    <w:rsid w:val="00AD5B42"/>
    <w:rsid w:val="00AE42F5"/>
    <w:rsid w:val="00B371F3"/>
    <w:rsid w:val="00B40169"/>
    <w:rsid w:val="00B42B8D"/>
    <w:rsid w:val="00B45356"/>
    <w:rsid w:val="00B45741"/>
    <w:rsid w:val="00B9333D"/>
    <w:rsid w:val="00BD6E6A"/>
    <w:rsid w:val="00BD7BB4"/>
    <w:rsid w:val="00BF14A5"/>
    <w:rsid w:val="00C160D8"/>
    <w:rsid w:val="00C22C28"/>
    <w:rsid w:val="00C2689F"/>
    <w:rsid w:val="00C31B72"/>
    <w:rsid w:val="00C35FC1"/>
    <w:rsid w:val="00C40B07"/>
    <w:rsid w:val="00C72A14"/>
    <w:rsid w:val="00CA3E2F"/>
    <w:rsid w:val="00CC4FCF"/>
    <w:rsid w:val="00D05DE9"/>
    <w:rsid w:val="00D25E37"/>
    <w:rsid w:val="00D27EF3"/>
    <w:rsid w:val="00D3376C"/>
    <w:rsid w:val="00D65AF9"/>
    <w:rsid w:val="00D85953"/>
    <w:rsid w:val="00D87893"/>
    <w:rsid w:val="00D92824"/>
    <w:rsid w:val="00DA2859"/>
    <w:rsid w:val="00DB4213"/>
    <w:rsid w:val="00DB6E9B"/>
    <w:rsid w:val="00DC5C3C"/>
    <w:rsid w:val="00DF12D0"/>
    <w:rsid w:val="00DF7C09"/>
    <w:rsid w:val="00DF7E78"/>
    <w:rsid w:val="00E53F98"/>
    <w:rsid w:val="00E65D8D"/>
    <w:rsid w:val="00E71073"/>
    <w:rsid w:val="00E97542"/>
    <w:rsid w:val="00EC1E8B"/>
    <w:rsid w:val="00ED2B0B"/>
    <w:rsid w:val="00EF618B"/>
    <w:rsid w:val="00F131B7"/>
    <w:rsid w:val="00F43AD2"/>
    <w:rsid w:val="00F64966"/>
    <w:rsid w:val="00F91B9F"/>
    <w:rsid w:val="00F927F2"/>
    <w:rsid w:val="00FB572C"/>
    <w:rsid w:val="00FB723A"/>
    <w:rsid w:val="00FD2059"/>
    <w:rsid w:val="00FD65A6"/>
    <w:rsid w:val="00FF11E3"/>
    <w:rsid w:val="00FF6299"/>
    <w:rsid w:val="01ED2398"/>
    <w:rsid w:val="02335DA9"/>
    <w:rsid w:val="02D260E9"/>
    <w:rsid w:val="03E91DDD"/>
    <w:rsid w:val="051A3C2B"/>
    <w:rsid w:val="05556D4A"/>
    <w:rsid w:val="05D13765"/>
    <w:rsid w:val="06C729EE"/>
    <w:rsid w:val="0A4F7D57"/>
    <w:rsid w:val="0A960751"/>
    <w:rsid w:val="0CC325AC"/>
    <w:rsid w:val="0D717680"/>
    <w:rsid w:val="0D8A4002"/>
    <w:rsid w:val="0F6824F9"/>
    <w:rsid w:val="10982C07"/>
    <w:rsid w:val="120D2245"/>
    <w:rsid w:val="126070B3"/>
    <w:rsid w:val="13595D39"/>
    <w:rsid w:val="163041BC"/>
    <w:rsid w:val="174A611D"/>
    <w:rsid w:val="1BF32856"/>
    <w:rsid w:val="1D403E5C"/>
    <w:rsid w:val="1D5E53C1"/>
    <w:rsid w:val="1D961411"/>
    <w:rsid w:val="1EF65C58"/>
    <w:rsid w:val="1FBC4BE0"/>
    <w:rsid w:val="21C46094"/>
    <w:rsid w:val="21EE3E25"/>
    <w:rsid w:val="230B7F6D"/>
    <w:rsid w:val="239439E8"/>
    <w:rsid w:val="245F42F8"/>
    <w:rsid w:val="253A2935"/>
    <w:rsid w:val="25CF3FFB"/>
    <w:rsid w:val="26FC0CDE"/>
    <w:rsid w:val="27CA7EB2"/>
    <w:rsid w:val="2BAB4636"/>
    <w:rsid w:val="2CD14B50"/>
    <w:rsid w:val="30DB016B"/>
    <w:rsid w:val="32CF18BB"/>
    <w:rsid w:val="33F544A4"/>
    <w:rsid w:val="33F90B74"/>
    <w:rsid w:val="34134071"/>
    <w:rsid w:val="349C467A"/>
    <w:rsid w:val="34AB6320"/>
    <w:rsid w:val="36520E8C"/>
    <w:rsid w:val="365315CA"/>
    <w:rsid w:val="3C5B6995"/>
    <w:rsid w:val="3C6E5AD0"/>
    <w:rsid w:val="3C987739"/>
    <w:rsid w:val="3EA20A1E"/>
    <w:rsid w:val="3EE40EAC"/>
    <w:rsid w:val="4065731C"/>
    <w:rsid w:val="41777715"/>
    <w:rsid w:val="41D50012"/>
    <w:rsid w:val="4231349C"/>
    <w:rsid w:val="44653066"/>
    <w:rsid w:val="44E21790"/>
    <w:rsid w:val="467B15AE"/>
    <w:rsid w:val="46F3077F"/>
    <w:rsid w:val="48B77E75"/>
    <w:rsid w:val="4C514F5E"/>
    <w:rsid w:val="4CB75B4C"/>
    <w:rsid w:val="4DA426DF"/>
    <w:rsid w:val="4DA94893"/>
    <w:rsid w:val="4F712F19"/>
    <w:rsid w:val="522E60D3"/>
    <w:rsid w:val="53A51561"/>
    <w:rsid w:val="54114857"/>
    <w:rsid w:val="548958B9"/>
    <w:rsid w:val="55326FD3"/>
    <w:rsid w:val="55766CB9"/>
    <w:rsid w:val="55CF4FEA"/>
    <w:rsid w:val="56C028F9"/>
    <w:rsid w:val="574D608A"/>
    <w:rsid w:val="57786173"/>
    <w:rsid w:val="58FB3C03"/>
    <w:rsid w:val="590F3C63"/>
    <w:rsid w:val="595066BA"/>
    <w:rsid w:val="59F23E13"/>
    <w:rsid w:val="5AF116AA"/>
    <w:rsid w:val="5B23382F"/>
    <w:rsid w:val="5B627450"/>
    <w:rsid w:val="5BC70B49"/>
    <w:rsid w:val="5D932F17"/>
    <w:rsid w:val="5E357838"/>
    <w:rsid w:val="5F5E3609"/>
    <w:rsid w:val="5FA016C5"/>
    <w:rsid w:val="61D246A9"/>
    <w:rsid w:val="62A24A2F"/>
    <w:rsid w:val="65785AC3"/>
    <w:rsid w:val="659643EF"/>
    <w:rsid w:val="660723FD"/>
    <w:rsid w:val="66A1193F"/>
    <w:rsid w:val="66BE5ABF"/>
    <w:rsid w:val="67565299"/>
    <w:rsid w:val="677C5A03"/>
    <w:rsid w:val="6A306296"/>
    <w:rsid w:val="6AA73A7C"/>
    <w:rsid w:val="6CA86A45"/>
    <w:rsid w:val="6CDB7401"/>
    <w:rsid w:val="6CF6384D"/>
    <w:rsid w:val="6E893520"/>
    <w:rsid w:val="6EE2103F"/>
    <w:rsid w:val="6F4320F9"/>
    <w:rsid w:val="71064D70"/>
    <w:rsid w:val="715C3BC7"/>
    <w:rsid w:val="721C0576"/>
    <w:rsid w:val="74962A72"/>
    <w:rsid w:val="752D1882"/>
    <w:rsid w:val="7841786C"/>
    <w:rsid w:val="7A716449"/>
    <w:rsid w:val="7AA775D9"/>
    <w:rsid w:val="7BDB3FB4"/>
    <w:rsid w:val="7D5E7E3F"/>
    <w:rsid w:val="7E1D3F2F"/>
    <w:rsid w:val="7EEE13B1"/>
    <w:rsid w:val="7F1C7DE7"/>
    <w:rsid w:val="7F7F3F0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6">
    <w:name w:val="Table Grid"/>
    <w:basedOn w:val="5"/>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页脚 Char"/>
    <w:basedOn w:val="7"/>
    <w:link w:val="2"/>
    <w:qFormat/>
    <w:uiPriority w:val="0"/>
    <w:rPr>
      <w:kern w:val="2"/>
      <w:sz w:val="18"/>
      <w:szCs w:val="18"/>
    </w:rPr>
  </w:style>
  <w:style w:type="character" w:customStyle="1" w:styleId="11">
    <w:name w:val="页眉 Char"/>
    <w:basedOn w:val="7"/>
    <w:link w:val="3"/>
    <w:qFormat/>
    <w:uiPriority w:val="0"/>
    <w:rPr>
      <w:kern w:val="2"/>
      <w:sz w:val="18"/>
      <w:szCs w:val="18"/>
    </w:rPr>
  </w:style>
  <w:style w:type="character" w:customStyle="1" w:styleId="12">
    <w:name w:val="CharAttribute18"/>
    <w:qFormat/>
    <w:uiPriority w:val="0"/>
    <w:rPr>
      <w:rFonts w:ascii="楷体_GB2312" w:eastAsia="楷体_GB2312"/>
      <w:sz w:val="32"/>
    </w:rPr>
  </w:style>
  <w:style w:type="character" w:customStyle="1" w:styleId="13">
    <w:name w:val="CharAttribute14"/>
    <w:qFormat/>
    <w:uiPriority w:val="0"/>
    <w:rPr>
      <w:rFonts w:ascii="仿宋_GB2312" w:eastAsia="仿宋_GB2312"/>
      <w:sz w:val="32"/>
    </w:rPr>
  </w:style>
  <w:style w:type="paragraph" w:customStyle="1" w:styleId="14">
    <w:name w:val="ParaAttribute10"/>
    <w:qFormat/>
    <w:uiPriority w:val="0"/>
    <w:pPr>
      <w:widowControl w:val="0"/>
      <w:spacing w:line="600" w:lineRule="exact"/>
      <w:ind w:firstLine="640"/>
      <w:jc w:val="both"/>
    </w:pPr>
    <w:rPr>
      <w:rFonts w:ascii="Times New Roman" w:hAnsi="Times New Roman" w:eastAsia="Batang" w:cs="Times New Roman"/>
      <w:lang w:val="en-US" w:eastAsia="zh-CN" w:bidi="ar-SA"/>
    </w:rPr>
  </w:style>
  <w:style w:type="paragraph" w:customStyle="1" w:styleId="15">
    <w:name w:val=" Char"/>
    <w:basedOn w:val="1"/>
    <w:next w:val="1"/>
    <w:qFormat/>
    <w:uiPriority w:val="0"/>
    <w:pPr>
      <w:spacing w:line="240" w:lineRule="atLeast"/>
      <w:ind w:left="420" w:firstLine="420"/>
      <w:jc w:val="left"/>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581</Words>
  <Characters>645</Characters>
  <Lines>4</Lines>
  <Paragraphs>1</Paragraphs>
  <TotalTime>3</TotalTime>
  <ScaleCrop>false</ScaleCrop>
  <LinksUpToDate>false</LinksUpToDate>
  <CharactersWithSpaces>661</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2019-11-08T07:11:00Z</dcterms:created>
  <dc:creator>marui</dc:creator>
  <cp:lastModifiedBy>leenkon</cp:lastModifiedBy>
  <cp:lastPrinted>2018-10-16T03:14:00Z</cp:lastPrinted>
  <dcterms:modified xsi:type="dcterms:W3CDTF">2025-07-08T23:03:00Z</dcterms:modified>
  <dc:title>简  报</dc:title>
  <cp:revision>6</cp:revision>
  <dc:description/>
  <dc:identifier/>
  <dc:language/>
  <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358A8739705A45AC9A20CC86123653E7_13</vt:lpwstr>
  </property>
</Properties>
</file>