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7DA9776">
      <w:pPr>
        <w:widowControl/>
        <w:tabs>
          <w:tab w:val="center" w:pos="4153"/>
          <w:tab w:val="left" w:pos="7155"/>
        </w:tabs>
        <w:jc w:val="center"/>
        <w:rPr>
          <w:rFonts w:hint="default" w:ascii="方正行楷_GBK" w:hAnsi="宋体" w:eastAsia="方正行楷_GBK" w:cs="宋体"/>
          <w:color w:val="FF0000"/>
          <w:kern w:val="0"/>
          <w:sz w:val="280"/>
          <w:szCs w:val="280"/>
          <w:lang w:val="en-US" w:eastAsia="zh-CN"/>
        </w:rPr>
      </w:pPr>
      <w:r>
        <w:rPr>
          <w:rFonts w:hint="eastAsia" w:ascii="方正小标宋简体" w:hAnsi="方正小标宋简体" w:eastAsia="方正小标宋简体" w:cs="方正小标宋简体"/>
          <w:color w:val="FF0000"/>
          <w:kern w:val="0"/>
          <w:sz w:val="88"/>
          <w:szCs w:val="88"/>
          <w:lang w:val="en-US" w:eastAsia="zh-CN"/>
        </w:rPr>
        <w:t>国际国内疾控信息动态</w:t>
      </w:r>
    </w:p>
    <w:p w14:paraId="5E9CD17F">
      <w:pPr>
        <w:widowControl/>
        <w:tabs>
          <w:tab w:val="center" w:pos="4153"/>
          <w:tab w:val="left" w:pos="9000"/>
        </w:tabs>
        <w:ind w:left="-178" w:leftChars="-85" w:firstLine="179" w:firstLineChars="56"/>
        <w:jc w:val="center"/>
        <w:rPr>
          <w:rFonts w:hint="eastAsia" w:ascii="方正楷体_GBK" w:hAnsi="方正楷体_GBK" w:eastAsia="方正楷体_GBK" w:cs="方正楷体_GBK"/>
          <w:color w:val="000000"/>
          <w:kern w:val="0"/>
          <w:sz w:val="32"/>
          <w:szCs w:val="32"/>
        </w:rPr>
      </w:pPr>
      <w:r>
        <w:rPr>
          <w:rFonts w:hint="eastAsia" w:ascii="方正楷体_GBK" w:hAnsi="方正楷体_GBK" w:eastAsia="方正楷体_GBK" w:cs="方正楷体_GBK"/>
          <w:color w:val="000000"/>
          <w:kern w:val="0"/>
          <w:sz w:val="32"/>
          <w:szCs w:val="32"/>
        </w:rPr>
        <w:t>（</w:t>
      </w:r>
      <w:r>
        <w:rPr>
          <w:rFonts w:hint="default" w:ascii="Times New Roman" w:hAnsi="Times New Roman" w:eastAsia="方正楷体_GBK" w:cs="Times New Roman"/>
          <w:color w:val="000000"/>
          <w:kern w:val="0"/>
          <w:sz w:val="32"/>
          <w:szCs w:val="32"/>
          <w:lang w:val="en-US" w:eastAsia="zh-CN"/>
        </w:rPr>
        <w:t xml:space="preserve">2024</w:t>
      </w:r>
      <w:r>
        <w:rPr>
          <w:rFonts w:hint="eastAsia" w:ascii="方正楷体_GBK" w:hAnsi="方正楷体_GBK" w:eastAsia="方正楷体_GBK" w:cs="方正楷体_GBK"/>
          <w:color w:val="000000"/>
          <w:kern w:val="0"/>
          <w:sz w:val="32"/>
          <w:szCs w:val="32"/>
          <w:lang w:val="en-US" w:eastAsia="zh-CN"/>
        </w:rPr>
        <w:t xml:space="preserve">年 </w:t>
      </w:r>
      <w:r>
        <w:rPr>
          <w:rFonts w:hint="eastAsia" w:ascii="方正楷体_GBK" w:hAnsi="方正楷体_GBK" w:eastAsia="方正楷体_GBK" w:cs="方正楷体_GBK"/>
          <w:color w:val="000000"/>
          <w:kern w:val="0"/>
          <w:sz w:val="32"/>
          <w:szCs w:val="32"/>
        </w:rPr>
        <w:t>第</w:t>
      </w:r>
      <w:bookmarkStart w:id="0" w:name="_GoBack"/>
      <w:r>
        <w:rPr>
          <w:rFonts w:hint="eastAsia" w:ascii="方正楷体_GBK" w:hAnsi="方正楷体_GBK" w:eastAsia="方正楷体_GBK" w:cs="方正楷体_GBK"/>
          <w:color w:val="000000"/>
          <w:kern w:val="0"/>
          <w:sz w:val="32"/>
          <w:szCs w:val="32"/>
          <w:lang w:val="en-US" w:eastAsia="zh-CN"/>
        </w:rPr>
        <w:t xml:space="preserve">六</w:t>
      </w:r>
      <w:bookmarkEnd w:id="0"/>
      <w:r>
        <w:rPr>
          <w:rFonts w:hint="eastAsia" w:ascii="方正楷体_GBK" w:hAnsi="方正楷体_GBK" w:eastAsia="方正楷体_GBK" w:cs="方正楷体_GBK"/>
          <w:color w:val="000000"/>
          <w:kern w:val="0"/>
          <w:sz w:val="32"/>
          <w:szCs w:val="32"/>
        </w:rPr>
        <w:t>期）</w:t>
      </w:r>
    </w:p>
    <w:p w14:paraId="006FA456">
      <w:pPr>
        <w:widowControl/>
        <w:ind w:firstLine="160" w:firstLineChars="50"/>
        <w:jc w:val="left"/>
        <w:rPr>
          <w:rFonts w:eastAsia="仿宋_GB2312"/>
          <w:color w:val="000000"/>
          <w:kern w:val="0"/>
          <w:sz w:val="32"/>
          <w:szCs w:val="32"/>
        </w:rPr>
      </w:pPr>
    </w:p>
    <w:tbl>
      <w:tblPr>
        <w:tblStyle w:val="6"/>
        <w:tblW w:w="0" w:type="auto"/>
        <w:tblInd w:w="68"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4069"/>
        <w:gridCol w:w="4744"/>
      </w:tblGrid>
      <w:tr w14:paraId="62C0E7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exact"/>
        </w:trPr>
        <w:tc>
          <w:tcPr>
            <w:tcW w:w="4069" w:type="dxa"/>
            <w:noWrap w:val="0"/>
            <w:vAlign w:val="center"/>
          </w:tcPr>
          <w:p w14:paraId="0BA43F13">
            <w:pPr>
              <w:keepNext w:val="0"/>
              <w:keepLines w:val="0"/>
              <w:pageBreakBefore w:val="0"/>
              <w:widowControl/>
              <w:kinsoku/>
              <w:wordWrap/>
              <w:overflowPunct/>
              <w:topLinePunct w:val="0"/>
              <w:autoSpaceDE/>
              <w:autoSpaceDN/>
              <w:bidi w:val="0"/>
              <w:adjustRightInd w:val="0"/>
              <w:snapToGrid/>
              <w:spacing w:line="240" w:lineRule="auto"/>
              <w:ind w:left="210" w:leftChars="100" w:right="0" w:rightChars="0"/>
              <w:jc w:val="center"/>
              <w:textAlignment w:val="auto"/>
              <w:outlineLvl w:val="0"/>
              <w:rPr>
                <w:rFonts w:eastAsia="方正仿宋_GBK"/>
                <w:color w:val="000000"/>
                <w:kern w:val="0"/>
                <w:sz w:val="32"/>
                <w:szCs w:val="32"/>
                <w:vertAlign w:val="baseline"/>
              </w:rPr>
            </w:pPr>
            <w:r>
              <w:rPr>
                <w:rFonts w:eastAsia="方正仿宋_GBK"/>
                <w:color w:val="000000"/>
                <w:kern w:val="0"/>
                <w:sz w:val="32"/>
                <w:szCs w:val="32"/>
              </w:rPr>
              <w:t>金堂县疾病预防控制中心</w:t>
            </w:r>
          </w:p>
        </w:tc>
        <w:tc>
          <w:tcPr>
            <w:tcW w:w="4744" w:type="dxa"/>
            <w:noWrap w:val="0"/>
            <w:vAlign w:val="center"/>
          </w:tcPr>
          <w:p w14:paraId="49E907EE">
            <w:pPr>
              <w:keepNext w:val="0"/>
              <w:keepLines w:val="0"/>
              <w:pageBreakBefore w:val="0"/>
              <w:widowControl/>
              <w:kinsoku/>
              <w:wordWrap/>
              <w:overflowPunct/>
              <w:topLinePunct w:val="0"/>
              <w:autoSpaceDE/>
              <w:autoSpaceDN/>
              <w:bidi w:val="0"/>
              <w:adjustRightInd w:val="0"/>
              <w:snapToGrid/>
              <w:spacing w:line="240" w:lineRule="auto"/>
              <w:ind w:right="210" w:rightChars="100"/>
              <w:jc w:val="right"/>
              <w:textAlignment w:val="auto"/>
              <w:outlineLvl w:val="0"/>
              <w:rPr>
                <w:rFonts w:hint="default" w:eastAsia="方正仿宋_GBK"/>
                <w:color w:val="000000"/>
                <w:kern w:val="0"/>
                <w:sz w:val="32"/>
                <w:szCs w:val="32"/>
                <w:vertAlign w:val="baseline"/>
                <w:lang w:val="en-US" w:eastAsia="zh-CN"/>
              </w:rPr>
            </w:pPr>
            <w:r>
              <w:rPr>
                <w:rFonts w:hint="eastAsia" w:eastAsia="方正仿宋_GBK"/>
                <w:color w:val="000000"/>
                <w:kern w:val="0"/>
                <w:sz w:val="32"/>
                <w:szCs w:val="32"/>
                <w:lang w:val="en-US" w:eastAsia="zh-CN"/>
              </w:rPr>
              <w:t xml:space="preserve">二〇二四年二月十二日</w:t>
            </w:r>
          </w:p>
        </w:tc>
      </w:tr>
    </w:tbl>
    <w:p w14:paraId="31BD9088">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eastAsia="仿宋_GB2312"/>
          <w:b w:val="0"/>
          <w:bCs/>
          <w:color w:val="000000"/>
          <w:kern w:val="0"/>
          <w:sz w:val="32"/>
          <w:szCs w:val="32"/>
        </w:rPr>
      </w:pPr>
      <w:r>
        <w:rPr>
          <w:rFonts w:eastAsia="仿宋_GB2312"/>
          <w:b w:val="0"/>
          <w:bCs/>
          <w:color w:val="000000"/>
          <w:kern w:val="0"/>
          <w:sz w:val="32"/>
          <w:szCs w:val="32"/>
        </w:rPr>
        <mc:AlternateContent>
          <mc:Choice Requires="wps">
            <w:drawing>
              <wp:anchor distT="0" distB="0" distL="114300" distR="114300" simplePos="0" relativeHeight="251659264" behindDoc="0" locked="0" layoutInCell="1" allowOverlap="1">
                <wp:simplePos x="0" y="0"/>
                <wp:positionH relativeFrom="column">
                  <wp:posOffset>-36195</wp:posOffset>
                </wp:positionH>
                <wp:positionV relativeFrom="paragraph">
                  <wp:posOffset>38100</wp:posOffset>
                </wp:positionV>
                <wp:extent cx="5615940" cy="0"/>
                <wp:effectExtent l="0" t="9525" r="3810" b="9525"/>
                <wp:wrapNone/>
                <wp:docPr id="1001" name="Line 6"/>
                <wp:cNvGraphicFramePr/>
                <a:graphic xmlns:a="http://schemas.openxmlformats.org/drawingml/2006/main">
                  <a:graphicData uri="http://schemas.microsoft.com/office/word/2010/wordprocessingShape">
                    <wps:wsp>
                      <wps:cNvCnPr/>
                      <wps:spPr>
                        <a:xfrm>
                          <a:off x="0" y="0"/>
                          <a:ext cx="5615940" cy="0"/>
                        </a:xfrm>
                        <a:prstGeom prst="line">
                          <a:avLst/>
                        </a:prstGeom>
                        <a:ln w="19050" cap="flat" cmpd="sng">
                          <a:solidFill>
                            <a:srgbClr val="FF0000"/>
                          </a:solidFill>
                          <a:prstDash val="solid"/>
                          <a:headEnd type="none" w="med" len="med"/>
                          <a:tailEnd type="none" w="med" len="med"/>
                        </a:ln>
                      </wps:spPr>
                      <wps:bodyPr upright="1"/>
                    </wps:wsp>
                  </a:graphicData>
                </a:graphic>
              </wp:anchor>
            </w:drawing>
          </mc:Choice>
          <mc:Fallback>
            <w:pict>
              <v:line id="Line 6" o:spid="_x0000_s1026" o:spt="20" style="position:absolute;left:0pt;margin-left:-2.85pt;margin-top:3pt;height:0pt;width:442.2pt;z-index:251659264;mso-width-relative:page;mso-height-relative:page;" filled="f" stroked="t" coordsize="21600,21600" o:gfxdata="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">
                <v:fill on="f" focussize="0,0"/>
                <v:stroke weight="1.5pt" color="#FF0000" joinstyle="round"/>
                <v:imagedata o:title=""/>
                <o:lock v:ext="edit" aspectratio="f"/>
              </v:line>
            </w:pict>
          </mc:Fallback>
        </mc:AlternateContent>
      </w:r>
    </w:p>
    <w:p w14:paraId="42C87572">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48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黑体_GBK" w:cs="方正仿宋_GBK"/>
          <w:b/>
          <w:color w:val="000000"/>
          <w:kern w:val="0"/>
          <w:sz w:val="28"/>
          <w:szCs w:val="32"/>
          <w:lang w:val="en-US" w:eastAsia="zh-CN"/>
        </w:rPr>
        <w:t xml:space="preserve">一、全球疫情通报</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霍乱疫情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布隆迪：2024年1月20日至2月3日，布隆迪报告新增11例霍乱确诊病例。2024年1月1日至2月3日，该国累计报告1266例霍乱疑似病例，其中60例确诊，9例死亡。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埃塞俄比亚：2024年1月27日至2月3日，埃塞俄比亚报告新增239例霍乱疑似病例，其中2例死亡。2024年1月1日至2月3日，该国累计报告779例霍乱疑似病例，其中12例死亡。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（来源：http://chinacustoms-strc.cn/hkzx/zhzx/yqzx/2024021908544417533/index.html）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登革热疫情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马里：2024年1月27日至2月3日，马里报告新增79例登革热疑似病例，其中11例确诊。2024年1月1日至2月3日，该国累计报告574例登革热疑似病例，其中115例确诊。</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埃塞俄比亚：2024年1月27日至2月3日，埃塞俄比亚报告新增50例登革热疑似病例。2024年1月1日至2月3日，该国累计报告1561例登革热疑似病例。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（来源：http://chinacustoms-strc.cn/hkzx/zhzx/yqzx/2024021908544417533/index.html）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脊髓灰质炎疫情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尼日利亚：2024年1月31至2月6日，尼日利亚报告新增3例Ⅱ型循环型疫苗衍生脊灰病毒（cVDPV2）病例。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乍得：2024年1月31至2月6日，乍得报告新增1例Ⅱ型循环型疫苗衍生脊灰病毒（cVDPV2）病例。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（来源：http://chinacustoms-strc.cn/hkzx/zhzx/yqzx/2024021908544417533/index.html）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裂谷热疫情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肯尼亚：2024年1月25日至2月3日，肯尼亚报告新增1例裂谷热确诊病例。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（来源：http://chinacustoms-strc.cn/hkzx/zhzx/yqzx/2024021908544417533/index.html）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西方马脑炎疫情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乌拉圭：2024年1月30日，乌拉圭公共卫生部通报该国SanJose地区报告1例西方马脑炎确诊病例，为该国2009年以来首例病例。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（来源：http://chinacustoms-strc.cn/hkzx/zhzx/yqzx/2024021908544417533/index.html）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拉沙热疫情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尼日利亚：2024年1月27日至2月3日，尼日利亚报告新增483例拉沙热疑似病例，其中77例确诊，22例死亡。2024年1月1日至2月3日，该国累计报告1103例拉沙热疑似病例，其中211例确诊，43例死亡。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（来源：http://chinacustoms-strc.cn/hkzx/zhzx/yqzx/2024021908544417533/index.html）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隐孢子虫病疫情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瑞典：2023年12月15日至2024年1月27日，瑞典累计报告76例隐孢子虫病病例。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（来源：http://chinacustoms-strc.cn/hkzx/zhzx/yqzx/2024021908544417533/index.html）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弯曲杆菌病疫情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瑞士：2024年第5周（1月30日至2月5日），瑞士报告新增84例弯曲杆菌病病例。2024年1月1日至2月5日，该国累计报告874例弯曲杆菌病病例。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（来源：http://chinacustoms-strc.cn/hkzx/zhzx/yqzx/2024021908544417533/index.html）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基孔肯雅热疫情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美国：2024年第4周（1月21日至1月27日），美国报告新增2例基孔肯雅热病例，2024年累计报告3例。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（来源：http://chinacustoms-strc.cn/hkzx/zhzx/yqzx/2024021908544417533/index.html）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甲型肝炎疫情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美国：2024年第4周（1月21日至1月27日），美国报告新增8例甲型肝炎病例，2024年累计报告60例。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（来源：http://chinacustoms-strc.cn/hkzx/zhzx/yqzx/2024021908544417533/index.html）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贾第鞭毛虫病疫情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美国：2024年第4周（1月21日至1月27日），美国报告新增190例贾第鞭毛虫病病例，2024年累计报告778例。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（来源：http://chinacustoms-strc.cn/hkzx/zhzx/yqzx/2024021908544417533/index.html）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霍乱疫情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赞比亚：2024年1月20日至1月29日，赞比亚报告新增2634例霍乱疑似病例，其中83例死亡。2024年1月1日至1月29日，该国累计报告10753例霍乱疑似病例，其中457例死亡。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（来源：http://chinacustoms-strc.cn/hkzx/zhzx/yqzx/2024021908544469159/index.html）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猴痘疫情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美国：2024年第4周（1月21日至1月27日），美国报告新增21例猴痘确诊病例，2024年累计报告114例猴痘确诊病例。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（来源：http://chinacustoms-strc.cn/hkzx/zhzx/yqzx/2024021908544469159/index.html）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人感染H1N1流感病毒变异株疫情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巴西：2024年1月16日，巴西卫生部通报该国巴拉那州报告1例人感染H1N1流感病毒变异株病例，为本年度首例。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（来源：http://chinacustoms-strc.cn/hkzx/zhzx/yqzx/2024021908544469159/index.html）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西方马脑炎疫情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乌拉圭：2024年2月7日，乌拉圭报告15例西方马脑炎疑似病例和2例确诊病例。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（来源：http://chinacustoms-strc.cn/hkzx/zhzx/yqzx/2024021908544469159/index.html）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水痘疫情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斯里兰卡：2024年第4周（1月20日至1月26日），斯里兰卡报告新增100例水痘病例。2024年1月1日至1月26日，该国累计报告363例水痘病例。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（来源：http://chinacustoms-strc.cn/hkzx/zhzx/yqzx/2024021908544469159/index.html）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钩端螺旋体病疫情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斯里兰卡：2024年第4周（1月20日至1月26日），斯里兰卡报告新增310例钩端螺旋体病病例。2024年1月1日至1月26日，该国累计报告1004例钩端螺旋体病病例。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（来源：http://chinacustoms-strc.cn/hkzx/zhzx/yqzx/2024021908544469159/index.html）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登革热疫情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新加坡：2024年第4周（1月21日至1月27日），新加坡报告新增432例登革热病例，2024年累计报告1541例登革热病例。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中国台湾：2024年第5周（1月28日至2月3日），中国台湾报告新增17例登革热病例，2024年累计报告165例登革热病例，其中境外输入8例。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美国：2024年第4周（1月21日至1月27日），美国报告新增3例登革热病例，2024年累计报告32例登革热病例。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（来源：http://chinacustoms-strc.cn/hkzx/zhzx/yqzx/2024021908544469159/index.html）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阿米巴性痢疾疫情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中国台湾：2024年第5周（1月28日至2月3日），中国台湾报告新增7例阿米巴性痢疾病例，2024年累计报告31例阿米巴性痢疾病例，其中境外输入8例。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（来源：http://chinacustoms-strc.cn/hkzx/zhzx/yqzx/2024021908544469159/index.html）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丙型肝炎疫情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中国台湾：2024年第5周（1月28日至2月3日），中国台湾报告新增10例丙型肝炎病例，2024年累计报告50例丙型肝炎病例。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（来源：http://chinacustoms-strc.cn/hkzx/zhzx/yqzx/2024021908544469159/index.html）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军团菌病疫情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中国香港：2024年1月28日至2月3日，中国香港报告新增1例军团菌病病例。2024年1月1日至2月3日，中国香港累计报告4例军团菌病病例。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中国台湾：2024年第5周（1月28日至2月3日），中国台湾报告新增23例军团菌病病例，2024年累计报告97例军团菌病病例，其中境外输入1例。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（来源：http://chinacustoms-strc.cn/hkzx/zhzx/yqzx/2024021908544469159/index.html）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恙虫病疫情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中国台湾：2024年第5周（1月28日至2月3日），中国台湾报告新增5例恙虫病病例，2024年累计报告21例恙虫病病例。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（来源：http://chinacustoms-strc.cn/hkzx/zhzx/yqzx/2024021908544469159/index.html）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霍乱疫情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海地：2022年10月2日至2024年1月26日，海地累计报告79347例霍乱疑似病例，其中4608例确诊，1172例死亡。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赞比亚：2023年10月3日至2024年1月28日，赞比亚累计报告15589例霍乱疑似病例，其中584例死亡。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（来源：http://chinacustoms-strc.cn/hkzx/zhzx/yqzx/2024020911153179176/index.html）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猴痘疫情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柬埔寨：2024年2月5日，柬埔寨卫生部通报该国报告新增1例猴痘确诊病例。2023年12月13日至2024年2月5日，该国累计报告5例猴痘确诊病例。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（来源：http://chinacustoms-strc.cn/hkzx/zhzx/yqzx/2024020911153179176/index.html）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登革热疫情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马来西亚：2024年第3周（1月14日至1月20日），马来西亚报告新增3971例登革热疑似病例。2024年1月1日至1月20日，该国累计报告10677例登革热疑似病例，其中2例死亡。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斯里兰卡：2024年1月1日至2月2日，斯里兰卡累计报告10635例登革热疑似病例，其中4例死亡。病例主要分布于西部省（3489例）和北部省（2734例）。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（来源：http://chinacustoms-strc.cn/hkzx/zhzx/yqzx/2024020911153179176/index.html）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寨卡病毒病疫情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哥伦比亚：2024年1月1日至1月27日，哥伦比亚累计报告33例寨卡病毒病疑似病例。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玻利维亚：2024年1月1日至1月27日，玻利维亚累计报告27例寨卡病毒病疑似病例。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（来源：http://chinacustoms-strc.cn/hkzx/zhzx/yqzx/2024020911153179176/index.html）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夸赛纳森林病疫情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印度：2024年1月1日至2月5日，印度卡纳塔克邦累计报告53例夸赛纳森林病确诊病例，其中2例死亡。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（来源：http://chinacustoms-strc.cn/hkzx/zhzx/yqzx/2024020911153179176/index.html）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蜱传脑炎疫情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瑞士：2024年1月23日至1月29日，瑞士报告新增1例蜱传脑炎病例。2024年1月1日至1月29日，该国累计报告6例蜱传脑炎病例。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（来源：http://chinacustoms-strc.cn/hkzx/zhzx/yqzx/2024020911153179176/index.html）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流感疫情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蒙古国：2024年1月1日至1月21日，蒙古国累计报告248例流感确诊病例。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马来西亚：2024年1月1日至1月21日，马来西亚累计报告241例流感确诊病例。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（来源：http://chinacustoms-strc.cn/hkzx/zhzx/yqzx/2024020911153179176/index.html）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麻疹疫情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布隆迪：2024年1月1日至2月3日，布隆迪累计报告346例麻疹疑似病例，其中6例死亡。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赞比亚：2024年1月1日至1月29日，赞比亚累计报告470例麻疹疑似病例，其中42例确诊。</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（来源：http://chinacustoms-strc.cn/hkzx/zhzx/yqzx/2024020911153179176/index.html）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沙门氏菌感染疫情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新加坡：2024年第4周（1月21日至1月27日），新加坡报告新增20例沙门氏菌感染病例，2024年累计报告89例。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（来源：http://chinacustoms-strc.cn/hkzx/zhzx/yqzx/2024020911153179176/index.html）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流行性腮腺炎疫情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新加坡：2024年第4周（1月21日至1月27日），新加坡报告新增5例流行性腮腺炎病例，2024年累计报告23例。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（来源：http://chinacustoms-strc.cn/hkzx/zhzx/yqzx/2024020911153179176/index.html）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钩端螺旋体病疫情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新加坡：2024年第4周（1月21日至1月27日），新加坡报告新增4例钩端螺旋体病病例，2024年累计报告10例。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（来源：http://chinacustoms-strc.cn/hkzx/zhzx/yqzx/2024020911153179176/index.html）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霍乱疫情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南非：2024年1月1日至2月1日，南非累计报告46例霍乱疑似病例，其中5例确诊。确诊病例中3例从津巴布韦输入。</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刚果民主共和国：2024年第3周（1月15日至1月21日），刚果民主共和国报告新增862例霍乱疑似病例，19例死亡病例。2024年1月1日至1月21日，该国累计报告2548例霍乱疑似病例，其中123例确诊，48例死亡。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（来源：http://chinacustoms-strc.cn/hkzx/zhzx/yqzx/2024020911153269743/index.html）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脊髓灰质炎疫情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尼日利亚：2024年1月24日至1月30日，尼日利亚报告新增4例Ⅱ型循环型疫苗衍生脊灰病毒（cVDPV2）病例。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也门：2024年1月24日至1月30日，也门报告新增1例Ⅱ型循环型疫苗衍生脊灰病毒（cVDPV2）病例。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（来源：http://chinacustoms-strc.cn/hkzx/zhzx/yqzx/2024020911153269743/index.html）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登革热疫情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孟加拉国：2024年1月29日至2月4日，孟加拉国报告新增115例登革热确诊病例，1例死亡病例。2024年1月1日至2月4日，该国累计报告1121例登革热确诊病例，其中15例死亡。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老挝：2024年第3周（1月15日至1月21日），老挝报告新增223例登革热确诊病例。2024年1月1日至1月21日，该国累计报告414例登革热确诊病例。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（来源：http://chinacustoms-strc.cn/hkzx/zhzx/yqzx/2024020911153269743/index.html）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基孔肯雅热疫情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玻利维亚：2024年1月1日至1月27日，玻利维亚累计报告60例基孔肯雅热疑似病例。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哥伦比亚：2024年1月1日至1月27日，哥伦比亚累计报告13例基孔肯雅热疑似病例。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（来源：http://chinacustoms-strc.cn/hkzx/zhzx/yqzx/2024020911153269743/index.html）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寨卡病毒病疫情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巴西：2024年1月1日至1月20日，巴西累计报告127例寨卡病毒病疑似病例，其中5例确诊。</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（来源：http://chinacustoms-strc.cn/hkzx/zhzx/yqzx/2024020911153269743/index.html）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汉坦病毒感染疫情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中国台湾：2024年2月2日，中国台湾疾病管制署通报高雄市报告该市2024年首例汉坦病毒感染确诊病例。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（来源：http://chinacustoms-strc.cn/hkzx/zhzx/yqzx/2024020911153269743/index.html）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白喉疫情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尼日利亚：2024年1月30日至2月3日，尼日利亚报告新增234例白喉病例，其中187例确诊。2024年1月1日至2月3日，该国累计报告1089例白喉病例，其中904例确诊，1例死亡。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几内亚：2024年1月30日至2月3日，几内亚报告新增176例白喉病例。2024年1月1日至2月3日，该国累计报告484例白喉病例，其中3例死亡。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（来源：http://chinacustoms-strc.cn/hkzx/zhzx/yqzx/2024020911153269743/index.html）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麻疹疫情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刚果民主共和国：2024年1月1日至1月7日，刚果民主共和国报告新增2364例麻疹疑似病例，其中3例确诊，45例死亡。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（来源：http://chinacustoms-strc.cn/hkzx/zhzx/yqzx/2024020911153269743/index.html）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流感疫情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加拿大：2024年第4周（1月21日至1月27日），加拿大报告新增4223例流感确诊病例。2023年8月27日至2024年1月27日，该国累计报告57663例流感确诊病例，其中96%为甲型流感病例。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（来源：http://chinacustoms-strc.cn/hkzx/zhzx/yqzx/2024020911153269743/index.html）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结核病疫情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日本：2024年第4周（1月22日至1月28日），日本报告新增212例结核病病例，2024年累计报告804例。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（来源：http://chinacustoms-strc.cn/hkzx/zhzx/yqzx/2024020911153269743/index.html）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肠出血性大肠杆菌感染疫情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日本：2024年第4周（1月22日至1月28日），日本报告新增36例肠出血性大肠杆菌感染病例，2024年累计报告99例。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（来源：http://chinacustoms-strc.cn/hkzx/zhzx/yqzx/2024020911153269743/index.html）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戊型肝炎疫情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日本：2024年第4周（1月22日至1月28日），日本报告新增13例戊型肝炎病例，2024年累计报告41例。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（来源：http://chinacustoms-strc.cn/hkzx/zhzx/yqzx/2024020911153269743/index.html）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霍乱疫情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苏丹：2023年9月26日至2024年1月29日，苏丹累计报告10094例霍乱疑似病例，其中284例死亡。病例主要分布于红海州（3561例）、加达里夫州（2097例）和杰济拉州（1861例）。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阿富汗：2024年第4周（1月21日至1月27日），阿富汗报告新增1948例霍乱疑似病例。2024年1月1日至1月27日，该国累计报告8402例霍乱疑似病例，其中8例死亡。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（来源：http://chinacustoms-strc.cn/hkzx/zhzx/yqzx/2024020911153235245/index.html）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脊髓灰质炎疫情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几内亚：2024年1月24日至1月30日，几内亚报告新增8例Ⅱ型循环型疫苗衍生脊灰病毒（cVDPV2）病例。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尼日尔：2024年1月24日至1月30日，尼日尔报告新增1例Ⅱ型循环型疫苗衍生脊灰病毒（cVDPV2）病例。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（来源：http://chinacustoms-strc.cn/hkzx/zhzx/yqzx/2024020911153235245/index.html）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登革热疫情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墨西哥：2024年1月21日至1月27日，墨西哥报告新增4966例登革热疑似病例。2024年1月1日至1月27日，该国累计报告14896例登革热疑似病例，其中2714例确诊。</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秘鲁：2024年1月14日至1月27日，秘鲁报告新增5354例登革热疑似病例。2024年1月1日至1月27日，该国累计报告9353例登革热疑似病例，其中3963例确诊，7例死亡。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（来源：http://chinacustoms-strc.cn/hkzx/zhzx/yqzx/2024020911153235245/index.html）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基孔肯雅热疫情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巴西：2024年1月14日至1月27日，巴西报告新增10565例基孔肯雅热疑似病例。2024年1月1日至1月27日，该国累计报告14189例基孔肯雅热疑似病例，其中11128例确诊，3例死亡。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（来源：http://chinacustoms-strc.cn/hkzx/zhzx/yqzx/2024020911153235245/index.html）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西方马脑炎疫情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阿根廷：2023年11月12日至2024年2月2日，阿根廷15个省累计报告279例西方马脑炎疑似病例，其中56例确诊，确诊病例中7例死亡。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方正仿宋_GBK" w:hAnsi="方正仿宋_GBK" w:eastAsia="方正仿宋_GBK" w:cs="方正仿宋_GBK"/>
          <w:color w:val="000000"/>
          <w:kern w:val="0"/>
          <w:sz w:val="32"/>
          <w:szCs w:val="32"/>
          <w:lang w:val="en-US" w:eastAsia="zh-CN"/>
        </w:rPr>
        <w:t xml:space="preserve"/>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克里米亚-</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（来源：http://chinacustoms-strc.cn/hkzx/zhzx/yqzx/2024020911153235245/index.html）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刚果出血热疫情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阿富汗：2024年第4周（1月21日至1月27日），阿富汗报告新增4例克里米亚-刚果出血热疑似病例。2024年1月1日至1月27日，该国累计报告24例克里米亚-刚果出血热疑似病例。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（来源：http://chinacustoms-strc.cn/hkzx/zhzx/yqzx/2024020911153235245/index.html）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麻疹疫情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乌干达：2023年9月28日至2024年1月26日，乌干达累计报告228例麻疹疑似病例，其中24例确诊。</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（来源：http://chinacustoms-strc.cn/hkzx/zhzx/yqzx/2024020911153235245/index.html）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流感疫情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西班牙：2024年1月29日，西班牙卫生部通报该国加泰罗尼亚自治区报告1例人感染甲型H1N1流感病毒变异株病例，患者现已康复。</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（来源：http://chinacustoms-strc.cn/hkzx/zhzx/yqzx/2024020911153235245/index.html）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钩端螺旋体病疫情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斯里兰卡：2024年第2周（1月6日至1月12日），斯里兰卡报告新增308例钩端螺旋体病病例。2024年1月1日至1月12日，该国累计报告694例钩端螺旋体病病例。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（来源：http://chinacustoms-strc.cn/hkzx/zhzx/yqzx/2024020911153235245/index.html）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利什曼病疫情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斯里兰卡：2024年第2周（1月6日至1月12日），斯里兰卡报告新增70例利什曼病病例。2024年1月1日至1月12日，该国累计报告114例利什曼病病例。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（来源：http://chinacustoms-strc.cn/hkzx/zhzx/yqzx/2024020911153235245/index.html）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流感嗜血杆菌感染疫情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美国：2024年第4周（1月21日至1月27日），美国报告新增71例流感嗜血杆菌感染病例，2024年累计报告480例。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（来源：http://chinacustoms-strc.cn/hkzx/zhzx/yqzx/2024020911153235245/index.html）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百日咳疫情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美国：2024年第4周（1月21日至1月27日），美国报告新增97例百日咳病例，2024年累计报告396例。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（来源：http://chinacustoms-strc.cn/hkzx/zhzx/yqzx/2024020911153235245/index.html）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产志贺毒素大肠杆菌感染疫情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美国：2024年第4周（1月21日至1月27日），美国报告新增65例产志贺毒素大肠杆菌感染病例，2024年累计报告426例。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（来源：http://chinacustoms-strc.cn/hkzx/zhzx/yqzx/2024020911153235245/index.html）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48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黑体_GBK" w:cs="方正仿宋_GBK"/>
          <w:b/>
          <w:color w:val="000000"/>
          <w:kern w:val="0"/>
          <w:sz w:val="28"/>
          <w:szCs w:val="32"/>
          <w:lang w:val="en-US" w:eastAsia="zh-CN"/>
        </w:rPr>
        <w:t xml:space="preserve">二、国内疾控动态</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国家疾控局领导班子走访慰问部分在京医疗卫生机构</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48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农历甲辰龙年来临之际，国家疾控局领导班子成员分别走访部分在京医疗卫生机构，看望慰问坚守岗位的医疗卫生工作者，并向全国卫生健康、疾控系统的广大干部职工送上诚挚问候和新春祝福。国家卫生健康委副主任、国家疾控局局长王贺胜先后到北京大学第三医院、北京同仁医院、石景山区疾控中心，看望慰问一线工作人员，感谢他们在春节来临之际，为百姓健康保驾护航，勉励他们把握新时代需求，弘扬伟大抗疫精神，坚持预防为主、防治结合，创新医防协同、医防融合，全力推进卫生健康和疾控事业高质量发展，更好地保护人民健康、保障公共卫生安全、维护经济社会稳定。国家疾控局领导班子成员常继乐、沈洪兵、孙阳、卢江分别带队，走访慰问中华预防医学会、北京胸科医院、北京市疾控中心、昌平区疾控中心、海淀区卫生健康监督所、海淀区北下关社区卫生服务中心，为坚守一线的医疗卫生工作者以及在院患者送去新春佳节的问候和祝福。</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（来源：https://www.ndcpa.gov.cn/jbkzzx/c100008/common/content/content_1755411604133171200.html）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48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黑体_GBK" w:cs="方正仿宋_GBK"/>
          <w:b/>
          <w:color w:val="000000"/>
          <w:kern w:val="0"/>
          <w:sz w:val="28"/>
          <w:szCs w:val="32"/>
          <w:lang w:val="en-US" w:eastAsia="zh-CN"/>
        </w:rPr>
        <w:t xml:space="preserve">三、省内疾控动态</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广元市疾控中心开展春节前预防接种工作技术指导</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48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为保障广大市民春节期间的预防接种需求和预防接种安全，2月6日，市疾控中心党委书记、主任杨广树带领免疫规划相关专业技术人员到昭化区开展了春节前预防接种工作技术指导。本次指导主要对辖区内疾病预防控制机构及预防接种单位春节期间预防接种工作安排与接种安全措施部署进行指导。指导组现场查看了春节期间的值班值守安排、疫苗的储存和冷链管理、接种单位和接种人员预防接种工作规范的执行、疑似异常反应处置准备、应急准备等情况。杨广树主任强调，春节期间，市、县（区）疾病预防控制中心要保障疫苗充足供应，规范储存、运输；各预防接种单位要严格按照《预防接种工作规范（2023版）》开展预防接种工作，同时利用各种有效宣传方式做好寒假期间国家免疫规划疫苗查漏补种工作。</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（来源：https://www.sccdc.cn/Article/View?id=33003）</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凉山州开展第71届“世界防治麻风病日”暨第 37届“中国麻风节”州级慰问活动</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48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在2024年新春佳节来临之际，也迎来了第71届“世界防治麻风病日”暨第37届“中国麻风节”，今年的活动主题是“全面消除麻风危害，促进社会文明进步”。按照习近平总书记在第19届国际麻风大会贺信中“创造一个没有麻风的世界”的指示精神，为全面落实消除麻风病危害各项措施，同时进一步巩固、提高省州麻风病防治工作成绩，宣传麻风病防治知识，关怀麻风病人及康复者，由凉山州卫生健康委员会、州疾控局、州残联、州红十字会主办，州疾控中心协办，会东县卫健局、会东县疾控中心承办的宣传慰问活动在会东县举行。1月29日，村民们早早地来到会东县新街镇前进村6社会东县康复医院院坝内，州卫健委、州红十字会、州疾控中心、会东县卫健局、县残联、县红十字会、县疾控中心等部门的有关领导和工作人员来到村民中间，向麻风病患者和康复者致以新年的祝福和节日的问候，与麻风康复者及其家属交谈，详细了解他们的生活及健康状况，鼓励他们珍惜生活，珍爱生命，同时，向麻风病康复者发放了慰问品，通过发放麻风病防治宣传资料、耐心为现场群众解惑答疑的方式，宣传我国的麻风病防治政策。此次活动共慰问23位麻风康复者，同时访视了村外病人。活动受到麻风康复者及病人的欢迎，通过活动让麻风病人感受到了党和政府的温暖以及节日的快乐。此次慰问活动的主要宗旨是：各部门继续共同努力，消除麻风病危害，尊重关爱麻风病患者和防治工作人员，推动麻风病防治工作再上新台阶，结合健康扶贫工作，全面落实消除麻风病危害措施，凝聚社会力量关爱、理解麻风病人，同时倡导全社会伸出援助之手，为他们做一些力所能及的事，帮助他们克服困难，过上正常人的生活。尽最大努力消除大众对麻风病的恐惧和歧视，帮助弱势群体。继续发挥多部门工作联动机制作用，通过活动的开展，把各级各部门和社会各界的关爱带给他们，让他们感受到温暖，增强生活的信心，同时通过通俗易懂、形象生动的宣传活动，提高干部、群众、社会各阶层对麻风病的认识，更新观念，使人们清楚地认识到麻风病可防、可治、不可怕的道理。尽量减少麻风传染和麻风危害，扩大并深入持久地宣传麻风病知识，将消除麻风病危害工作与乡村振兴相结合,加速推进各项防控措施的落实,力争让每一位麻风病患者得到及时发现和治疗,早日康复,融入社会，共享文明进步生活。</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（来源：https://www.sccdc.cn/Article/View?id=32990）</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巴中市疾控中心召开2023年工作总结大会，安排部署近期相关工作</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48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1月31日，市疾控中心党支部书记、主任罗友军主持召开2023年工作总结大会，并安排部署了近期相关工作，中心全体干部职工参加。会议传达学习了《国务院安委会办公室关于近期重大及典型事故情况的通报》《四川省人民政府总值班室关于领导批示交办的通知》《市卫生健康委关于进一步规范干部职工在企业、社会组织兼职的通知》文件精神，总结了中心2023年度工作，表扬了年度创先争优、先进科室及优秀个人，安排部署了中心2024年春节期间安全生产、应急值班、信访维稳和紧盯“四风”廉洁过节等相关工作。罗友军指出，2023年是忙碌、求实、上进的一年，全体干部职工夯基固本，奋发图强，疾控高质量发展再上新台阶。一是抓政治体检，市委例行巡察工作顺利完成；二是抓规范管理，资质复评审工作有力推进；三是抓基础配套，后勤保障短板彻底改善；四是抓品质培育，检验检测质量稳步提升；五是抓应急处突，传染病防控能力进一步提高；六是抓民生热点，职业病防控工作扎实开展；七是抓全面发展，各项业务工作亮点纷呈；八是抓党建引领，思想政治工作成效明显。罗友军指出，当前全市疾控工作的现状和水平仍处于上升阶段，与省内整体工作领先的市州相比，我们的工作还有较大差距，还有很多亟待解决的问题。一是基层基础不牢；二是疾控队伍不优；三是业务覆盖不全；四是工作质效不高；五是思想观念不新。罗友军要求，疾控全体干部职工要改革创新，砥砺前行，为疾控现代化发展再注新动力。一要突出抓好免疫规划和传染病防控工作；二要深入推动医防融合抓实“两张清单”要求；三要着力强化检验检测和卫生监测工作质效；四要全面提高慢病管理和基本公共卫生成效；五要持续优化职业病防控工作目标体系；六要切实体现健康宣教和信息工作社会效益；七要全力完成上等达标重大使命；八要稳步推进人才科研学术工作。罗友军要求，疾控全体干部职工要与时俱进，强化内涵，全面树立好巴中疾控新形象。一是把学习作为一种习惯和爱好；二是把实干作为一种追求和担当；三是把清廉作为一种信仰和责任。罗友军强调，疾控全体干部职工要紧盯重点，扛牢责任，全力守护好健康平安迎新年。一是务必做好安全生产工作，着力维护疾控和谐稳定；二是务必做好值班值守，推动工作正常有序运转；三是务必及早谋划，确保2024年各项重点工作开好头、起好步，实现“开门红”。表扬先进科室表扬优秀个人表扬爱岗敬业示范岗</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（来源：https://www.sccdc.cn/Article/View?id=32983）</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方正仿宋_GBK" w:hAnsi="方正仿宋_GBK" w:eastAsia="方正仿宋_GBK" w:cs="方正仿宋_GBK"/>
          <w:color w:val="000000"/>
          <w:kern w:val="0"/>
          <w:sz w:val="32"/>
          <w:szCs w:val="32"/>
          <w:lang w:val="en-US" w:eastAsia="zh-CN"/>
        </w:rPr>
        <w:t xml:space="preserve"/>
      </w:r>
    </w:p>
    <w:sectPr>
      <w:headerReference r:id="rId3" w:type="default"/>
      <w:pgSz w:w="11906" w:h="16838"/>
      <w:pgMar w:top="2098" w:right="1474" w:bottom="1985" w:left="1588"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_GB2312">
    <w:panose1 w:val="02010609030101010101"/>
    <w:charset w:val="86"/>
    <w:family w:val="modern"/>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Batang">
    <w:altName w:val="Malgun Gothic"/>
    <w:panose1 w:val="02030600000101010101"/>
    <w:charset w:val="81"/>
    <w:family w:val="roman"/>
    <w:pitch w:val="default"/>
    <w:sig w:usb0="00000000" w:usb1="00000000" w:usb2="00000030" w:usb3="00000000" w:csb0="4008009F" w:csb1="DFD70000"/>
  </w:font>
  <w:font w:name="方正行楷_GBK">
    <w:altName w:val="楷体_GB2312"/>
    <w:panose1 w:val="03000509000000000000"/>
    <w:charset w:val="86"/>
    <w:family w:val="script"/>
    <w:pitch w:val="default"/>
    <w:sig w:usb0="00000000" w:usb1="00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方正仿宋_GBK">
    <w:panose1 w:val="02000000000000000000"/>
    <w:charset w:val="86"/>
    <w:family w:val="script"/>
    <w:pitch w:val="default"/>
    <w:sig w:usb0="A00002BF" w:usb1="38CF7CFA" w:usb2="00082016" w:usb3="00000000" w:csb0="00040001" w:csb1="00000000"/>
  </w:font>
  <w:font w:name="方正楷体_GBK">
    <w:panose1 w:val="02000000000000000000"/>
    <w:charset w:val="86"/>
    <w:family w:val="auto"/>
    <w:pitch w:val="default"/>
    <w:sig w:usb0="A00002BF" w:usb1="38CF7CFA" w:usb2="00082016" w:usb3="00000000" w:csb0="00040001"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1A8F72">
    <w:pPr>
      <w:pStyle w:val="3"/>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g2MDA4YTJiMWY2NWVkNmYxZDdkMjAwMDY0ZTMyM2IifQ=="/>
  </w:docVars>
  <w:rsids>
    <w:rsidRoot w:val="009B17AC"/>
    <w:rsid w:val="00020845"/>
    <w:rsid w:val="0003131C"/>
    <w:rsid w:val="00040467"/>
    <w:rsid w:val="0006644A"/>
    <w:rsid w:val="00091111"/>
    <w:rsid w:val="00092CE5"/>
    <w:rsid w:val="000A20BF"/>
    <w:rsid w:val="000A3CAC"/>
    <w:rsid w:val="000C3262"/>
    <w:rsid w:val="000F6A15"/>
    <w:rsid w:val="0010293C"/>
    <w:rsid w:val="001037A6"/>
    <w:rsid w:val="0011630C"/>
    <w:rsid w:val="00164FD5"/>
    <w:rsid w:val="001673A5"/>
    <w:rsid w:val="001742CC"/>
    <w:rsid w:val="00183D80"/>
    <w:rsid w:val="00185647"/>
    <w:rsid w:val="001A2E5E"/>
    <w:rsid w:val="001D580F"/>
    <w:rsid w:val="001E3F72"/>
    <w:rsid w:val="002025F0"/>
    <w:rsid w:val="00214C49"/>
    <w:rsid w:val="00216C84"/>
    <w:rsid w:val="00240798"/>
    <w:rsid w:val="002770FE"/>
    <w:rsid w:val="002945BE"/>
    <w:rsid w:val="002A4A0D"/>
    <w:rsid w:val="002B31C4"/>
    <w:rsid w:val="002E67E1"/>
    <w:rsid w:val="003011E4"/>
    <w:rsid w:val="00303C63"/>
    <w:rsid w:val="00326605"/>
    <w:rsid w:val="0033417D"/>
    <w:rsid w:val="00344887"/>
    <w:rsid w:val="00371938"/>
    <w:rsid w:val="00375E07"/>
    <w:rsid w:val="00380924"/>
    <w:rsid w:val="0039057B"/>
    <w:rsid w:val="003A6E97"/>
    <w:rsid w:val="003B4EB7"/>
    <w:rsid w:val="003B6F3F"/>
    <w:rsid w:val="003B785D"/>
    <w:rsid w:val="003D621D"/>
    <w:rsid w:val="003F6436"/>
    <w:rsid w:val="00417A50"/>
    <w:rsid w:val="00451147"/>
    <w:rsid w:val="004836EB"/>
    <w:rsid w:val="00491D2C"/>
    <w:rsid w:val="0049254E"/>
    <w:rsid w:val="00511615"/>
    <w:rsid w:val="00514468"/>
    <w:rsid w:val="0052083C"/>
    <w:rsid w:val="005264F5"/>
    <w:rsid w:val="00534A97"/>
    <w:rsid w:val="005405FA"/>
    <w:rsid w:val="0055420E"/>
    <w:rsid w:val="00555F6C"/>
    <w:rsid w:val="00570F51"/>
    <w:rsid w:val="005B141D"/>
    <w:rsid w:val="006013AD"/>
    <w:rsid w:val="00605773"/>
    <w:rsid w:val="006321D9"/>
    <w:rsid w:val="00634FB2"/>
    <w:rsid w:val="00653B67"/>
    <w:rsid w:val="00692B69"/>
    <w:rsid w:val="006A50F5"/>
    <w:rsid w:val="006A53E7"/>
    <w:rsid w:val="006C39D8"/>
    <w:rsid w:val="006C5E93"/>
    <w:rsid w:val="007421CD"/>
    <w:rsid w:val="00743358"/>
    <w:rsid w:val="00743BA3"/>
    <w:rsid w:val="00744EC2"/>
    <w:rsid w:val="007477CD"/>
    <w:rsid w:val="007478E4"/>
    <w:rsid w:val="0075449E"/>
    <w:rsid w:val="0075519E"/>
    <w:rsid w:val="007631EC"/>
    <w:rsid w:val="00764C58"/>
    <w:rsid w:val="007A4530"/>
    <w:rsid w:val="007A7421"/>
    <w:rsid w:val="007A7A0C"/>
    <w:rsid w:val="007B3DE4"/>
    <w:rsid w:val="007B73C3"/>
    <w:rsid w:val="007C0A30"/>
    <w:rsid w:val="00843B2B"/>
    <w:rsid w:val="00896403"/>
    <w:rsid w:val="00896B9A"/>
    <w:rsid w:val="008B5FEE"/>
    <w:rsid w:val="008B6915"/>
    <w:rsid w:val="008D336C"/>
    <w:rsid w:val="008E243A"/>
    <w:rsid w:val="008E4CDA"/>
    <w:rsid w:val="00904409"/>
    <w:rsid w:val="009342C9"/>
    <w:rsid w:val="00950447"/>
    <w:rsid w:val="009535F8"/>
    <w:rsid w:val="009721CF"/>
    <w:rsid w:val="0097633B"/>
    <w:rsid w:val="009771B6"/>
    <w:rsid w:val="00990BB8"/>
    <w:rsid w:val="00991C37"/>
    <w:rsid w:val="00995D60"/>
    <w:rsid w:val="00997BEA"/>
    <w:rsid w:val="009B17AC"/>
    <w:rsid w:val="009D1DDA"/>
    <w:rsid w:val="009E12C5"/>
    <w:rsid w:val="009F1543"/>
    <w:rsid w:val="009F1858"/>
    <w:rsid w:val="00A143DB"/>
    <w:rsid w:val="00A2327F"/>
    <w:rsid w:val="00A372C5"/>
    <w:rsid w:val="00A63900"/>
    <w:rsid w:val="00A9471E"/>
    <w:rsid w:val="00AB2C63"/>
    <w:rsid w:val="00AD5B42"/>
    <w:rsid w:val="00AE42F5"/>
    <w:rsid w:val="00B371F3"/>
    <w:rsid w:val="00B40169"/>
    <w:rsid w:val="00B42B8D"/>
    <w:rsid w:val="00B45356"/>
    <w:rsid w:val="00B45741"/>
    <w:rsid w:val="00B9333D"/>
    <w:rsid w:val="00BD6E6A"/>
    <w:rsid w:val="00BD7BB4"/>
    <w:rsid w:val="00BF14A5"/>
    <w:rsid w:val="00C160D8"/>
    <w:rsid w:val="00C22C28"/>
    <w:rsid w:val="00C2689F"/>
    <w:rsid w:val="00C31B72"/>
    <w:rsid w:val="00C35FC1"/>
    <w:rsid w:val="00C40B07"/>
    <w:rsid w:val="00C72A14"/>
    <w:rsid w:val="00CA3E2F"/>
    <w:rsid w:val="00CC4FCF"/>
    <w:rsid w:val="00D05DE9"/>
    <w:rsid w:val="00D25E37"/>
    <w:rsid w:val="00D27EF3"/>
    <w:rsid w:val="00D3376C"/>
    <w:rsid w:val="00D65AF9"/>
    <w:rsid w:val="00D85953"/>
    <w:rsid w:val="00D87893"/>
    <w:rsid w:val="00D92824"/>
    <w:rsid w:val="00DA2859"/>
    <w:rsid w:val="00DB4213"/>
    <w:rsid w:val="00DB6E9B"/>
    <w:rsid w:val="00DC5C3C"/>
    <w:rsid w:val="00DF12D0"/>
    <w:rsid w:val="00DF7C09"/>
    <w:rsid w:val="00DF7E78"/>
    <w:rsid w:val="00E53F98"/>
    <w:rsid w:val="00E65D8D"/>
    <w:rsid w:val="00E71073"/>
    <w:rsid w:val="00E97542"/>
    <w:rsid w:val="00EC1E8B"/>
    <w:rsid w:val="00ED2B0B"/>
    <w:rsid w:val="00EF618B"/>
    <w:rsid w:val="00F131B7"/>
    <w:rsid w:val="00F43AD2"/>
    <w:rsid w:val="00F64966"/>
    <w:rsid w:val="00F91B9F"/>
    <w:rsid w:val="00F927F2"/>
    <w:rsid w:val="00FB572C"/>
    <w:rsid w:val="00FB723A"/>
    <w:rsid w:val="00FD2059"/>
    <w:rsid w:val="00FD65A6"/>
    <w:rsid w:val="00FF11E3"/>
    <w:rsid w:val="00FF6299"/>
    <w:rsid w:val="01ED2398"/>
    <w:rsid w:val="02335DA9"/>
    <w:rsid w:val="02D260E9"/>
    <w:rsid w:val="03E91DDD"/>
    <w:rsid w:val="051A3C2B"/>
    <w:rsid w:val="05556D4A"/>
    <w:rsid w:val="05D13765"/>
    <w:rsid w:val="06C729EE"/>
    <w:rsid w:val="0A4F7D57"/>
    <w:rsid w:val="0A960751"/>
    <w:rsid w:val="0CC325AC"/>
    <w:rsid w:val="0D717680"/>
    <w:rsid w:val="0D8A4002"/>
    <w:rsid w:val="0F6824F9"/>
    <w:rsid w:val="10982C07"/>
    <w:rsid w:val="120D2245"/>
    <w:rsid w:val="126070B3"/>
    <w:rsid w:val="13595D39"/>
    <w:rsid w:val="163041BC"/>
    <w:rsid w:val="174A611D"/>
    <w:rsid w:val="1BF32856"/>
    <w:rsid w:val="1D403E5C"/>
    <w:rsid w:val="1D5E53C1"/>
    <w:rsid w:val="1D961411"/>
    <w:rsid w:val="1EF65C58"/>
    <w:rsid w:val="1FBC4BE0"/>
    <w:rsid w:val="21C46094"/>
    <w:rsid w:val="21EE3E25"/>
    <w:rsid w:val="230B7F6D"/>
    <w:rsid w:val="239439E8"/>
    <w:rsid w:val="245F42F8"/>
    <w:rsid w:val="253A2935"/>
    <w:rsid w:val="25CF3FFB"/>
    <w:rsid w:val="26FC0CDE"/>
    <w:rsid w:val="27CA7EB2"/>
    <w:rsid w:val="2BAB4636"/>
    <w:rsid w:val="2CD14B50"/>
    <w:rsid w:val="30DB016B"/>
    <w:rsid w:val="32CF18BB"/>
    <w:rsid w:val="33F544A4"/>
    <w:rsid w:val="33F90B74"/>
    <w:rsid w:val="34134071"/>
    <w:rsid w:val="349C467A"/>
    <w:rsid w:val="34AB6320"/>
    <w:rsid w:val="36520E8C"/>
    <w:rsid w:val="365315CA"/>
    <w:rsid w:val="3C5B6995"/>
    <w:rsid w:val="3C6E5AD0"/>
    <w:rsid w:val="3C987739"/>
    <w:rsid w:val="3EA20A1E"/>
    <w:rsid w:val="3EE40EAC"/>
    <w:rsid w:val="4065731C"/>
    <w:rsid w:val="41777715"/>
    <w:rsid w:val="41D50012"/>
    <w:rsid w:val="4231349C"/>
    <w:rsid w:val="44653066"/>
    <w:rsid w:val="44E21790"/>
    <w:rsid w:val="467B15AE"/>
    <w:rsid w:val="46F3077F"/>
    <w:rsid w:val="48B77E75"/>
    <w:rsid w:val="4C514F5E"/>
    <w:rsid w:val="4CB75B4C"/>
    <w:rsid w:val="4DA426DF"/>
    <w:rsid w:val="4DA94893"/>
    <w:rsid w:val="4F712F19"/>
    <w:rsid w:val="522E60D3"/>
    <w:rsid w:val="53A51561"/>
    <w:rsid w:val="54114857"/>
    <w:rsid w:val="548958B9"/>
    <w:rsid w:val="55326FD3"/>
    <w:rsid w:val="55766CB9"/>
    <w:rsid w:val="55CF4FEA"/>
    <w:rsid w:val="56C028F9"/>
    <w:rsid w:val="574D608A"/>
    <w:rsid w:val="57786173"/>
    <w:rsid w:val="58FB3C03"/>
    <w:rsid w:val="590F3C63"/>
    <w:rsid w:val="595066BA"/>
    <w:rsid w:val="59F23E13"/>
    <w:rsid w:val="5AF116AA"/>
    <w:rsid w:val="5B23382F"/>
    <w:rsid w:val="5B627450"/>
    <w:rsid w:val="5BC70B49"/>
    <w:rsid w:val="5D932F17"/>
    <w:rsid w:val="5E357838"/>
    <w:rsid w:val="5F5E3609"/>
    <w:rsid w:val="5FA016C5"/>
    <w:rsid w:val="61D246A9"/>
    <w:rsid w:val="62A24A2F"/>
    <w:rsid w:val="65785AC3"/>
    <w:rsid w:val="659643EF"/>
    <w:rsid w:val="660723FD"/>
    <w:rsid w:val="66A1193F"/>
    <w:rsid w:val="66BE5ABF"/>
    <w:rsid w:val="67565299"/>
    <w:rsid w:val="677C5A03"/>
    <w:rsid w:val="6A306296"/>
    <w:rsid w:val="6AA73A7C"/>
    <w:rsid w:val="6CA86A45"/>
    <w:rsid w:val="6CDB7401"/>
    <w:rsid w:val="6CF6384D"/>
    <w:rsid w:val="6E893520"/>
    <w:rsid w:val="6EE2103F"/>
    <w:rsid w:val="6F4320F9"/>
    <w:rsid w:val="71064D70"/>
    <w:rsid w:val="715C3BC7"/>
    <w:rsid w:val="721C0576"/>
    <w:rsid w:val="74962A72"/>
    <w:rsid w:val="752D1882"/>
    <w:rsid w:val="7841786C"/>
    <w:rsid w:val="7A716449"/>
    <w:rsid w:val="7AA775D9"/>
    <w:rsid w:val="7BDB3FB4"/>
    <w:rsid w:val="7D5E7E3F"/>
    <w:rsid w:val="7E1D3F2F"/>
    <w:rsid w:val="7EEE13B1"/>
    <w:rsid w:val="7F1C7DE7"/>
    <w:rsid w:val="7F7F3F0D"/>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iPriority="9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footer"/>
    <w:basedOn w:val="1"/>
    <w:link w:val="10"/>
    <w:qFormat/>
    <w:uiPriority w:val="0"/>
    <w:pPr>
      <w:tabs>
        <w:tab w:val="center" w:pos="4153"/>
        <w:tab w:val="right" w:pos="8306"/>
      </w:tabs>
      <w:snapToGrid w:val="0"/>
      <w:jc w:val="left"/>
    </w:pPr>
    <w:rPr>
      <w:sz w:val="18"/>
      <w:szCs w:val="18"/>
    </w:rPr>
  </w:style>
  <w:style w:type="paragraph" w:styleId="3">
    <w:name w:val="header"/>
    <w:basedOn w:val="1"/>
    <w:link w:val="11"/>
    <w:qFormat/>
    <w:uiPriority w:val="0"/>
    <w:pPr>
      <w:pBdr>
        <w:bottom w:val="single" w:color="auto" w:sz="6" w:space="1"/>
      </w:pBdr>
      <w:tabs>
        <w:tab w:val="center" w:pos="4153"/>
        <w:tab w:val="right" w:pos="8306"/>
      </w:tabs>
      <w:snapToGrid w:val="0"/>
      <w:jc w:val="center"/>
    </w:pPr>
    <w:rPr>
      <w:sz w:val="18"/>
      <w:szCs w:val="18"/>
    </w:rPr>
  </w:style>
  <w:style w:type="paragraph" w:styleId="4">
    <w:name w:val="Normal (Web)"/>
    <w:basedOn w:val="1"/>
    <w:qFormat/>
    <w:uiPriority w:val="0"/>
    <w:pPr>
      <w:widowControl/>
      <w:spacing w:before="100" w:beforeAutospacing="1" w:after="100" w:afterAutospacing="1"/>
      <w:jc w:val="left"/>
    </w:pPr>
    <w:rPr>
      <w:rFonts w:ascii="宋体" w:hAnsi="宋体" w:cs="宋体"/>
      <w:kern w:val="0"/>
      <w:sz w:val="24"/>
    </w:rPr>
  </w:style>
  <w:style w:type="table" w:styleId="6">
    <w:name w:val="Table Grid"/>
    <w:basedOn w:val="5"/>
    <w:unhideWhenUsed/>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8">
    <w:name w:val="FollowedHyperlink"/>
    <w:basedOn w:val="7"/>
    <w:qFormat/>
    <w:uiPriority w:val="0"/>
    <w:rPr>
      <w:color w:val="000000"/>
      <w:u w:val="none"/>
    </w:rPr>
  </w:style>
  <w:style w:type="character" w:styleId="9">
    <w:name w:val="Hyperlink"/>
    <w:basedOn w:val="7"/>
    <w:qFormat/>
    <w:uiPriority w:val="0"/>
    <w:rPr>
      <w:color w:val="000000"/>
      <w:u w:val="none"/>
    </w:rPr>
  </w:style>
  <w:style w:type="character" w:customStyle="1" w:styleId="10">
    <w:name w:val="页脚 Char"/>
    <w:basedOn w:val="7"/>
    <w:link w:val="2"/>
    <w:qFormat/>
    <w:uiPriority w:val="0"/>
    <w:rPr>
      <w:kern w:val="2"/>
      <w:sz w:val="18"/>
      <w:szCs w:val="18"/>
    </w:rPr>
  </w:style>
  <w:style w:type="character" w:customStyle="1" w:styleId="11">
    <w:name w:val="页眉 Char"/>
    <w:basedOn w:val="7"/>
    <w:link w:val="3"/>
    <w:qFormat/>
    <w:uiPriority w:val="0"/>
    <w:rPr>
      <w:kern w:val="2"/>
      <w:sz w:val="18"/>
      <w:szCs w:val="18"/>
    </w:rPr>
  </w:style>
  <w:style w:type="character" w:customStyle="1" w:styleId="12">
    <w:name w:val="CharAttribute18"/>
    <w:qFormat/>
    <w:uiPriority w:val="0"/>
    <w:rPr>
      <w:rFonts w:ascii="楷体_GB2312" w:eastAsia="楷体_GB2312"/>
      <w:sz w:val="32"/>
    </w:rPr>
  </w:style>
  <w:style w:type="character" w:customStyle="1" w:styleId="13">
    <w:name w:val="CharAttribute14"/>
    <w:qFormat/>
    <w:uiPriority w:val="0"/>
    <w:rPr>
      <w:rFonts w:ascii="仿宋_GB2312" w:eastAsia="仿宋_GB2312"/>
      <w:sz w:val="32"/>
    </w:rPr>
  </w:style>
  <w:style w:type="paragraph" w:customStyle="1" w:styleId="14">
    <w:name w:val="ParaAttribute10"/>
    <w:qFormat/>
    <w:uiPriority w:val="0"/>
    <w:pPr>
      <w:widowControl w:val="0"/>
      <w:spacing w:line="600" w:lineRule="exact"/>
      <w:ind w:firstLine="640"/>
      <w:jc w:val="both"/>
    </w:pPr>
    <w:rPr>
      <w:rFonts w:ascii="Times New Roman" w:hAnsi="Times New Roman" w:eastAsia="Batang" w:cs="Times New Roman"/>
      <w:lang w:val="en-US" w:eastAsia="zh-CN" w:bidi="ar-SA"/>
    </w:rPr>
  </w:style>
  <w:style w:type="paragraph" w:customStyle="1" w:styleId="15">
    <w:name w:val=" Char"/>
    <w:basedOn w:val="1"/>
    <w:next w:val="1"/>
    <w:qFormat/>
    <w:uiPriority w:val="0"/>
    <w:pPr>
      <w:spacing w:line="240" w:lineRule="atLeast"/>
      <w:ind w:left="420" w:firstLine="420"/>
      <w:jc w:val="left"/>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WWW.YlmF.CoM</Company>
  <Pages>1</Pages>
  <Words>581</Words>
  <Characters>645</Characters>
  <Lines>4</Lines>
  <Paragraphs>1</Paragraphs>
  <TotalTime>3</TotalTime>
  <ScaleCrop>false</ScaleCrop>
  <LinksUpToDate>false</LinksUpToDate>
  <CharactersWithSpaces>661</CharactersWithSpaces>
  <Application>WPS Office_12.8.2.18913_F1E327BC-269C-435d-A152-05C5408002CA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2019-11-08T07:11:00Z</dcterms:created>
  <dc:creator>marui</dc:creator>
  <cp:lastModifiedBy>leenkon</cp:lastModifiedBy>
  <cp:lastPrinted>2018-10-16T03:14:00Z</cp:lastPrinted>
  <dcterms:modified xsi:type="dcterms:W3CDTF">2025-07-08T23:03:00Z</dcterms:modified>
  <dc:title>简  报</dc:title>
  <cp:revision>6</cp:revision>
  <dc:description/>
  <dc:identifier/>
  <dc:language/>
  <dc:subject/>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2052-12.8.2.18913</vt:lpwstr>
  </property>
  <property fmtid="{D5CDD505-2E9C-101B-9397-08002B2CF9AE}" pid="3" name="ICV">
    <vt:lpwstr>358A8739705A45AC9A20CC86123653E7_13</vt:lpwstr>
  </property>
</Properties>
</file>