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A9776">
      <w:pPr>
        <w:widowControl/>
        <w:tabs>
          <w:tab w:val="center" w:pos="4153"/>
          <w:tab w:val="left" w:pos="7155"/>
        </w:tabs>
        <w:jc w:val="center"/>
        <w:rPr>
          <w:rFonts w:hint="default" w:ascii="方正行楷_GBK" w:hAnsi="宋体" w:eastAsia="方正行楷_GBK" w:cs="宋体"/>
          <w:color w:val="FF0000"/>
          <w:kern w:val="0"/>
          <w:sz w:val="280"/>
          <w:szCs w:val="280"/>
          <w:lang w:val="en-US" w:eastAsia="zh-CN"/>
        </w:rPr>
      </w:pPr>
      <w:r>
        <w:rPr>
          <w:rFonts w:hint="eastAsia" w:ascii="方正小标宋简体" w:hAnsi="方正小标宋简体" w:eastAsia="方正小标宋简体" w:cs="方正小标宋简体"/>
          <w:color w:val="FF0000"/>
          <w:kern w:val="0"/>
          <w:sz w:val="88"/>
          <w:szCs w:val="88"/>
          <w:lang w:val="en-US" w:eastAsia="zh-CN"/>
        </w:rPr>
        <w:t>国际国内疾控信息动态</w:t>
      </w:r>
    </w:p>
    <w:p w14:paraId="5E9CD17F">
      <w:pPr>
        <w:widowControl/>
        <w:tabs>
          <w:tab w:val="center" w:pos="4153"/>
          <w:tab w:val="left" w:pos="9000"/>
        </w:tabs>
        <w:ind w:left="-178" w:leftChars="-85" w:firstLine="179" w:firstLineChars="56"/>
        <w:jc w:val="center"/>
        <w:rPr>
          <w:rFonts w:hint="eastAsia" w:ascii="方正楷体_GBK" w:hAnsi="方正楷体_GBK" w:eastAsia="方正楷体_GBK" w:cs="方正楷体_GBK"/>
          <w:color w:val="000000"/>
          <w:kern w:val="0"/>
          <w:sz w:val="32"/>
          <w:szCs w:val="32"/>
        </w:rPr>
      </w:pPr>
      <w:r>
        <w:rPr>
          <w:rFonts w:hint="eastAsia" w:ascii="方正楷体_GBK" w:hAnsi="方正楷体_GBK" w:eastAsia="方正楷体_GBK" w:cs="方正楷体_GBK"/>
          <w:color w:val="000000"/>
          <w:kern w:val="0"/>
          <w:sz w:val="32"/>
          <w:szCs w:val="32"/>
        </w:rPr>
        <w:t>（</w:t>
      </w:r>
      <w:r>
        <w:rPr>
          <w:rFonts w:hint="default" w:ascii="Times New Roman" w:hAnsi="Times New Roman" w:eastAsia="方正楷体_GBK" w:cs="Times New Roman"/>
          <w:color w:val="000000"/>
          <w:kern w:val="0"/>
          <w:sz w:val="32"/>
          <w:szCs w:val="32"/>
          <w:lang w:val="en-US" w:eastAsia="zh-CN"/>
        </w:rPr>
        <w:t xml:space="preserve">2024</w:t>
      </w:r>
      <w:r>
        <w:rPr>
          <w:rFonts w:hint="eastAsia" w:ascii="方正楷体_GBK" w:hAnsi="方正楷体_GBK" w:eastAsia="方正楷体_GBK" w:cs="方正楷体_GBK"/>
          <w:color w:val="000000"/>
          <w:kern w:val="0"/>
          <w:sz w:val="32"/>
          <w:szCs w:val="32"/>
          <w:lang w:val="en-US" w:eastAsia="zh-CN"/>
        </w:rPr>
        <w:t xml:space="preserve">年 </w:t>
      </w:r>
      <w:r>
        <w:rPr>
          <w:rFonts w:hint="eastAsia" w:ascii="方正楷体_GBK" w:hAnsi="方正楷体_GBK" w:eastAsia="方正楷体_GBK" w:cs="方正楷体_GBK"/>
          <w:color w:val="000000"/>
          <w:kern w:val="0"/>
          <w:sz w:val="32"/>
          <w:szCs w:val="32"/>
        </w:rPr>
        <w:t>第</w:t>
      </w:r>
      <w:bookmarkStart w:id="0" w:name="_GoBack"/>
      <w:r>
        <w:rPr>
          <w:rFonts w:hint="eastAsia" w:ascii="方正楷体_GBK" w:hAnsi="方正楷体_GBK" w:eastAsia="方正楷体_GBK" w:cs="方正楷体_GBK"/>
          <w:color w:val="000000"/>
          <w:kern w:val="0"/>
          <w:sz w:val="32"/>
          <w:szCs w:val="32"/>
          <w:lang w:val="en-US" w:eastAsia="zh-CN"/>
        </w:rPr>
        <w:t xml:space="preserve">十一</w:t>
      </w:r>
      <w:bookmarkEnd w:id="0"/>
      <w:r>
        <w:rPr>
          <w:rFonts w:hint="eastAsia" w:ascii="方正楷体_GBK" w:hAnsi="方正楷体_GBK" w:eastAsia="方正楷体_GBK" w:cs="方正楷体_GBK"/>
          <w:color w:val="000000"/>
          <w:kern w:val="0"/>
          <w:sz w:val="32"/>
          <w:szCs w:val="32"/>
        </w:rPr>
        <w:t>期）</w:t>
      </w:r>
    </w:p>
    <w:p w14:paraId="006FA456">
      <w:pPr>
        <w:widowControl/>
        <w:ind w:firstLine="160" w:firstLineChars="50"/>
        <w:jc w:val="left"/>
        <w:rPr>
          <w:rFonts w:eastAsia="仿宋_GB2312"/>
          <w:color w:val="000000"/>
          <w:kern w:val="0"/>
          <w:sz w:val="32"/>
          <w:szCs w:val="32"/>
        </w:rPr>
      </w:pPr>
    </w:p>
    <w:tbl>
      <w:tblPr>
        <w:tblStyle w:val="6"/>
        <w:tblW w:w="0" w:type="auto"/>
        <w:tblInd w:w="6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069"/>
        <w:gridCol w:w="4744"/>
      </w:tblGrid>
      <w:tr w14:paraId="62C0E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4069" w:type="dxa"/>
            <w:noWrap w:val="0"/>
            <w:vAlign w:val="center"/>
          </w:tcPr>
          <w:p w14:paraId="0BA43F13">
            <w:pPr>
              <w:keepNext w:val="0"/>
              <w:keepLines w:val="0"/>
              <w:pageBreakBefore w:val="0"/>
              <w:widowControl/>
              <w:kinsoku/>
              <w:wordWrap/>
              <w:overflowPunct/>
              <w:topLinePunct w:val="0"/>
              <w:autoSpaceDE/>
              <w:autoSpaceDN/>
              <w:bidi w:val="0"/>
              <w:adjustRightInd w:val="0"/>
              <w:snapToGrid/>
              <w:spacing w:line="240" w:lineRule="auto"/>
              <w:ind w:left="210" w:leftChars="100" w:right="0" w:rightChars="0"/>
              <w:jc w:val="center"/>
              <w:textAlignment w:val="auto"/>
              <w:outlineLvl w:val="0"/>
              <w:rPr>
                <w:rFonts w:eastAsia="方正仿宋_GBK"/>
                <w:color w:val="000000"/>
                <w:kern w:val="0"/>
                <w:sz w:val="32"/>
                <w:szCs w:val="32"/>
                <w:vertAlign w:val="baseline"/>
              </w:rPr>
            </w:pPr>
            <w:r>
              <w:rPr>
                <w:rFonts w:eastAsia="方正仿宋_GBK"/>
                <w:color w:val="000000"/>
                <w:kern w:val="0"/>
                <w:sz w:val="32"/>
                <w:szCs w:val="32"/>
              </w:rPr>
              <w:t>金堂县疾病预防控制中心</w:t>
            </w:r>
          </w:p>
        </w:tc>
        <w:tc>
          <w:tcPr>
            <w:tcW w:w="4744" w:type="dxa"/>
            <w:noWrap w:val="0"/>
            <w:vAlign w:val="center"/>
          </w:tcPr>
          <w:p w14:paraId="49E907EE">
            <w:pPr>
              <w:keepNext w:val="0"/>
              <w:keepLines w:val="0"/>
              <w:pageBreakBefore w:val="0"/>
              <w:widowControl/>
              <w:kinsoku/>
              <w:wordWrap/>
              <w:overflowPunct/>
              <w:topLinePunct w:val="0"/>
              <w:autoSpaceDE/>
              <w:autoSpaceDN/>
              <w:bidi w:val="0"/>
              <w:adjustRightInd w:val="0"/>
              <w:snapToGrid/>
              <w:spacing w:line="240" w:lineRule="auto"/>
              <w:ind w:right="210" w:rightChars="100"/>
              <w:jc w:val="right"/>
              <w:textAlignment w:val="auto"/>
              <w:outlineLvl w:val="0"/>
              <w:rPr>
                <w:rFonts w:hint="default" w:eastAsia="方正仿宋_GBK"/>
                <w:color w:val="000000"/>
                <w:kern w:val="0"/>
                <w:sz w:val="32"/>
                <w:szCs w:val="32"/>
                <w:vertAlign w:val="baseline"/>
                <w:lang w:val="en-US" w:eastAsia="zh-CN"/>
              </w:rPr>
            </w:pPr>
            <w:r>
              <w:rPr>
                <w:rFonts w:hint="eastAsia" w:eastAsia="方正仿宋_GBK"/>
                <w:color w:val="000000"/>
                <w:kern w:val="0"/>
                <w:sz w:val="32"/>
                <w:szCs w:val="32"/>
                <w:lang w:val="en-US" w:eastAsia="zh-CN"/>
              </w:rPr>
              <w:t xml:space="preserve">二〇二四年三月十八日</w:t>
            </w:r>
          </w:p>
        </w:tc>
      </w:tr>
    </w:tbl>
    <w:p w14:paraId="31BD908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eastAsia="仿宋_GB2312"/>
          <w:b w:val="0"/>
          <w:bCs/>
          <w:color w:val="000000"/>
          <w:kern w:val="0"/>
          <w:sz w:val="32"/>
          <w:szCs w:val="32"/>
        </w:rPr>
      </w:pPr>
      <w:r>
        <w:rPr>
          <w:rFonts w:eastAsia="仿宋_GB2312"/>
          <w:b w:val="0"/>
          <w:bCs/>
          <w:color w:val="000000"/>
          <w:kern w:val="0"/>
          <w:sz w:val="32"/>
          <w:szCs w:val="32"/>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38100</wp:posOffset>
                </wp:positionV>
                <wp:extent cx="5615940" cy="0"/>
                <wp:effectExtent l="0" t="9525" r="3810" b="9525"/>
                <wp:wrapNone/>
                <wp:docPr id="1001" name="Line 6"/>
                <wp:cNvGraphicFramePr/>
                <a:graphic xmlns:a="http://schemas.openxmlformats.org/drawingml/2006/main">
                  <a:graphicData uri="http://schemas.microsoft.com/office/word/2010/wordprocessingShape">
                    <wps:wsp>
                      <wps:cNvCnPr/>
                      <wps:spPr>
                        <a:xfrm>
                          <a:off x="0" y="0"/>
                          <a:ext cx="561594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Line 6" o:spid="_x0000_s1026" o:spt="20" style="position:absolute;left:0pt;margin-left:-2.85pt;margin-top:3pt;height:0pt;width:442.2pt;z-index:251659264;mso-width-relative:page;mso-height-relative:page;" filled="f" stroked="t" coordsize="21600,21600" o:gfxdata="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Q3xqq9QAAAAGAQAADwAAAAAA&#10;AAABACAAAAAiAAAAZHJzL2Rvd25yZXYueG1sUEsBAhQAFAAAAAgAh07iQJwMIwbeAQAA2gMAAA4A&#10;AAAAAAAAAQAgAAAAIwEAAGRycy9lMm9Eb2MueG1sUEsFBgAAAAAGAAYAWQEAAHMFAAAAAA==&#10;">
                <v:fill on="f" focussize="0,0"/>
                <v:stroke weight="1.5pt" color="#FF0000" joinstyle="round"/>
                <v:imagedata o:title=""/>
                <o:lock v:ext="edit" aspectratio="f"/>
              </v:line>
            </w:pict>
          </mc:Fallback>
        </mc:AlternateContent>
      </w:r>
    </w:p>
    <w:p w14:paraId="42C87572">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一、全球疫情通报</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苏丹：2024年1月1日至2月29日，苏丹累计报告1938例霍乱病例，其中50例死亡。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肯尼亚：2024年1月1日至2月29日，肯尼亚累计报告289例霍乱病例，其中1例死亡。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（来源：http://chinacustoms-strc.cn/hkzx/zhzx/yqzx/2024031810205032465/index.html）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巴西：2024年1月1日至3月2日，巴西累计报告1563504例登革热疑似病例，其中533443例确诊，278例死亡。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厄瓜多尔：2024年1月1日至3月2日，厄瓜多尔累计报告9442例登革热确诊病例，其中10例死亡。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克里米亚-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（来源：http://chinacustoms-strc.cn/hkzx/zhzx/yqzx/2024031810205032465/index.html）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刚果出血热疫情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阿富汗：2024年第10周（3月3日至3月9日），阿富汗报告新增3例克里米亚-刚果出血热疑似病例。2024年1月1日至3月9日，该国累计报告50例克里米亚-刚果出血热疑似病例。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（来源：http://chinacustoms-strc.cn/hkzx/zhzx/yqzx/2024031810205032465/index.html）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利比里亚：2024年2月26日，利比里亚报告新增203例麻疹病例，其中29例确诊。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马里：2024年2月26日，马里报告新增103例麻疹病例，其中62例确诊。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（来源：http://chinacustoms-strc.cn/hkzx/zhzx/yqzx/2024031810205032465/index.html）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脑膜炎疫情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斯里兰卡：2024年第8周（2月17日至2月23日），斯里兰卡报告新增28例脑膜炎病例。2024年1月1日至2月23日，该国累计报告295例脑膜炎病例。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（来源：http://chinacustoms-strc.cn/hkzx/zhzx/yqzx/2024031810205032465/index.html）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呼吸道合胞病毒感染疫情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瑞典：2024年第10周（3月4日至3月10日），瑞典报告新增287例呼吸道合胞病毒感染确诊病例。2023年10月2日至2024年3月10日，该国累计报告8250例呼吸道合胞病毒感染确诊病例。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（来源：http://chinacustoms-strc.cn/hkzx/zhzx/yqzx/2024031810205032465/index.html）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英国：2024年第9周（2月26日至3月3日），英国报告新增115例流行性腮腺炎病例。2024年1月1日至3月3日，该国累计报告1194例流行性腮腺炎病例。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（来源：http://chinacustoms-strc.cn/hkzx/zhzx/yqzx/2024031810205032465/index.html）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新加坡：2024年1月1日至3月3日，新加坡累计报告931例流感确诊病例。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马来西亚：2024年1月1日至3月3日，马来西亚累计报告862例流感确诊病例。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（来源：http://chinacustoms-strc.cn/hkzx/zhzx/yqzx/2024031810205032465/index.html）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甲型肝炎疫情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澳大利亚：2024年2月5日至2月18日，澳大利亚报告新增8例甲型肝炎病例。2024年1月1日至2月18日，该国累计报告23例甲型肝炎病例。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（来源：http://chinacustoms-strc.cn/hkzx/zhzx/yqzx/2024031810205032465/index.html）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中国台湾：2024年第10周（3月3日至3月9日），中国台湾报告新增42例军团菌病病例，2024年累计报告279例。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（来源：http://chinacustoms-strc.cn/hkzx/zhzx/yqzx/2024031810205032465/index.html）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丙型肝炎疫情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中国台湾：2024年第10周（3月3日至3月9日），中国台湾报告新增5例丙型肝炎病例，2024年累计报告84例。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（来源：http://chinacustoms-strc.cn/hkzx/zhzx/yqzx/2024031810205032465/index.html）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阿米巴性痢疾疫情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中国台湾：2024年第10周（3月3日至3月9日），中国台湾报告新增9例阿米巴性痢疾病例，2024年累计报告56例。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（来源：http://chinacustoms-strc.cn/hkzx/zhzx/yqzx/2024031810205032465/index.html）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南非：2023年12月4日至2024年2月13日，南非累计报告117例霍乱疑似病例，其中6例确诊。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（来源：http://chinacustoms-strc.cn/hkzx/zhzx/yqzx/2024031517085740411/index.html）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利比里亚：2022年7月23日至2024年2月13日，利比里亚累计报告119例猴痘疑似病例，其中7例确诊。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（来源：http://chinacustoms-strc.cn/hkzx/zhzx/yqzx/2024031517085740411/index.html）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马来西亚：2024年3月13日，马来西亚报告新增489例登革热病例。2024年1月1日至3月13日，该国累计报告37225例登革热病例，其中19例死亡。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新加坡：2024年第10周（3月3日至3月9日），新加坡报告新增367例登革热病例。2024年1月1日至3月9日，该国累计报告4166例登革热病例。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（来源：http://chinacustoms-strc.cn/hkzx/zhzx/yqzx/2024031517085740411/index.html）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哥伦比亚：2024年1月1日至3月2日，哥伦比亚累计报告53例寨卡病毒病疑似病例。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厄瓜多尔：2024年1月1日至3月2日，厄瓜多尔累计报告18例寨卡病毒病疑似病例。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（来源：http://chinacustoms-strc.cn/hkzx/zhzx/yqzx/2024031517085740411/index.html）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哥伦比亚：2024年1月1日至3月2日，哥伦比亚累计报告17例基孔肯雅热疑似病例。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萨尔瓦多：2024年1月1日至3月2日，萨尔瓦多累计报告7例基孔肯雅热疑似病例。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（来源：http://chinacustoms-strc.cn/hkzx/zhzx/yqzx/2024031517085740411/index.html）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中非共和国：2024年2月24日至3月4日，中非共和国报告新增188例麻疹疑似病例，其中1例死亡。2024年1月1日至3月4日，该国累计报告708例麻疹病例，其中9例确诊，2例死亡。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刚果共和国：2024年2月10日至3月4日，刚果共和国报告新增14例麻疹确诊病例。2024年1月1日至3月4日，该国累计报告46例麻疹病例，其中14例确诊。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（来源：http://chinacustoms-strc.cn/hkzx/zhzx/yqzx/2024031517085740411/index.html）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猩红热疫情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英国：2024年2月26日至3月3日，英国报告新增726例猩红热病例。2024年1月1日至3月3日，该国累计报告8521例猩红热病例。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（来源：http://chinacustoms-strc.cn/hkzx/zhzx/yqzx/2024031517085740411/index.html）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汉坦病毒感染疫情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美国：2024年3月5日，美国新墨西哥州SanJuan地区报告本年度首例汉坦病毒感染确诊病例。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（来源：http://chinacustoms-strc.cn/hkzx/zhzx/yqzx/2024031517085740411/index.html）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伤寒疫情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澳大利亚：2024年2月5日至2月18日，澳大利亚报告新增16例伤寒病例。2024年1月1日至2月18日，该国累计报告43例伤寒病例。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（来源：http://chinacustoms-strc.cn/hkzx/zhzx/yqzx/2024031517085740411/index.html）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弯曲杆菌病疫情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美国：2024年第9周（2月25日至3月2日），美国报告新增619例弯曲杆菌病病例，2024年累计报告7800例。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（来源：http://chinacustoms-strc.cn/hkzx/zhzx/yqzx/2024031517085740411/index.html）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球孢子菌病疫情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美国：2024年第9周（2月25日至3月2日），美国报告新增460例球孢子菌病病例，2024年累计报告4594例。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（来源：http://chinacustoms-strc.cn/hkzx/zhzx/yqzx/2024031517085740411/index.html）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贾第鞭毛虫病疫情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美国：2024年第9周（2月25日至3月2日），美国报告新增181例贾第鞭毛虫病病例，2024年累计报告2172例。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（来源：http://chinacustoms-strc.cn/hkzx/zhzx/yqzx/2024031517085740411/index.html）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索马里：2024年2月24日至3月4日，索马里报告新增376例霍乱病例，其中11例确诊，3例死亡。2024年1月1日至3月4日，该国累计报告2943例霍乱病例，其中323例确诊，26例死亡。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（来源：http://chinacustoms-strc.cn/hkzx/zhzx/yqzx/2024031411263949331/index.html）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刚果民主共和国：2024年1月1日至2月20日，刚果民主共和国累计报告2609例猴痘疑似病例，其中218例死亡。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（来源：http://chinacustoms-strc.cn/hkzx/zhzx/yqzx/2024031411263949331/index.html）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秘鲁：2024年1月1日至3月2日，秘鲁累计报告46522例登革热疑似病例，其中27637例确诊，41例死亡。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墨西哥：2024年1月1日至3月2日，墨西哥累计报告33339例登革热疑似病例，其中6829例确诊。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（来源：http://chinacustoms-strc.cn/hkzx/zhzx/yqzx/2024031411263949331/index.html）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秘鲁：2024年1月1日至3月2日，秘鲁累计报告5例寨卡病毒病疑似病例。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波多黎各：2024年1月1日至2月24日，波多黎各累计报告3例寨卡病毒病疑似病例。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（来源：http://chinacustoms-strc.cn/hkzx/zhzx/yqzx/2024031411263949331/index.html）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阿富汗：2024年第9周（2月25日至3月2日），阿富汗报告新增1232例麻疹疑似病例，其中8例死亡。2024年1月1日至3月2日，该国累计报告8411例麻疹疑似病例，其中37例死亡。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中国台湾：2024年3月12日，中国台湾报告新增2例麻疹确诊病例。2024年1月1日至3月12日，中国台湾累计报告9例麻疹确诊病例，包括4例输入性病例。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（来源：http://chinacustoms-strc.cn/hkzx/zhzx/yqzx/2024031411263949331/index.html）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百日咳疫情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中国澳门：2024年3月11日，中国澳门报告新增1例百日咳确诊病例。2024年1月1日至3月11日，中国澳门累计报告3例百日咳确诊病例。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（来源：http://chinacustoms-strc.cn/hkzx/zhzx/yqzx/2024031411263949331/index.html）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汉坦病毒感染疫情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阿根廷：2024年3月4日，阿根廷内乌肯省卫生部门通报该省报告1例汉坦病毒感染病例。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智利：2024年3月1日，智利卫生部通报该国比奥比奥大区报告本年度首例汉坦病毒感染确诊病例。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（来源：http://chinacustoms-strc.cn/hkzx/zhzx/yqzx/2024031411263949331/index.html）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弯曲杆菌病疫情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澳大利亚：2024年2月5日至2月18日，澳大利亚报告新增1333例弯曲杆菌病病例。2024年1月1日至2月18日，该国累计报告2838例弯曲杆菌病病例。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（来源：http://chinacustoms-strc.cn/hkzx/zhzx/yqzx/2024031411263949331/index.html）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诺如病毒感染疫情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美国：2023年9月1日至2024年2月29日，美国累计报告86例诺如病毒感染确诊病例。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（来源：http://chinacustoms-strc.cn/hkzx/zhzx/yqzx/2024031411263949331/index.html）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日本：2024年第9周（2月26日至3月3日），日本报告新增25例军团菌病病例，2024年累计报告284例。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（来源：http://chinacustoms-strc.cn/hkzx/zhzx/yqzx/2024031411263949331/index.html）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肠出血性大肠杆菌感染疫情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日本：2024年第9周（2月26日至3月3日），日本报告新增26例肠出血性大肠杆菌感染病例，2024年累计报告197例。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（来源：http://chinacustoms-strc.cn/hkzx/zhzx/yqzx/2024031411263949331/index.html）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戊型肝炎疫情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日本：2024年第9周（2月26日至3月3日），日本报告新增12例戊型肝炎病例，2024年累计报告98例。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（来源：http://chinacustoms-strc.cn/hkzx/zhzx/yqzx/2024031411263949331/index.html）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莫桑比克：2024年2月24日至3月4日，莫桑比克报告新增480例霍乱确诊病例。2024年1月1日至3月4日，该国累计报告4035例霍乱确诊病例，其中7例死亡。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（来源：http://chinacustoms-strc.cn/hkzx/zhzx/yqzx/2024031411263935122/index.html）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英国：2023年5月6日至2024年2月29日，英国累计报告3892例猴痘病例。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（来源：http://chinacustoms-strc.cn/hkzx/zhzx/yqzx/2024031411263935122/index.html）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几内亚：2024年2月28至3月5日，几内亚报告新增1例Ⅱ型循环型疫苗衍生脊灰病毒（cVDPV2）病例。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（来源：http://chinacustoms-strc.cn/hkzx/zhzx/yqzx/2024031411263935122/index.html）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毛里求斯：2024年2月24日至3月4日，毛里求斯报告新增614例登革热确诊病例。2024年1月1日至3月4日，该国累计报告2433例登革热确诊病例，其中2例死亡。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马里：2024年2月24日至3月4日，马里报告新增223例登革热病例，其中29例确诊。2024年1月1日至3月4日，该国累计报告1349例登革热病例，其中229例确诊。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（来源：http://chinacustoms-strc.cn/hkzx/zhzx/yqzx/2024031411263935122/index.html）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西方马脑炎疫情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阿根廷：2023年11月12日至2024年3月7日，阿根廷16个省累计报告418例西方马脑炎疑似病例，其中91例确诊，确诊病例中7例死亡。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（来源：http://chinacustoms-strc.cn/hkzx/zhzx/yqzx/2024031411263935122/index.html）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玻利维亚：2024年1月1日至2月24日，玻利维亚累计报告65例寨卡病毒病疑似病例。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哥斯达黎加：2024年1月1日至2月24日，哥斯达黎加累计报告8例寨卡病毒病疑似病例。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（来源：http://chinacustoms-strc.cn/hkzx/zhzx/yqzx/2024031411263935122/index.html）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奥罗普切病毒病疫情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玻利维亚：2024年3月8日，玻利维亚卫生部通报该国潘多省报告4例奥罗普切病毒病确诊病例。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（来源：http://chinacustoms-strc.cn/hkzx/zhzx/yqzx/2024031411263935122/index.html）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美国：2024年1月1日至3月7日，美国累计报告45例麻疹病例。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（来源：http://chinacustoms-strc.cn/hkzx/zhzx/yqzx/2024031411263935122/index.html）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拿大：2024年第9周（2月25日至3月2日），加拿大报告新增3394例流感确诊病例，包括2144例甲型流感病例，1250例乙型流感病例。2023年8月27日至2024年3月2日，该国累计报告77369例流感确诊病例，其中92%为甲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（来源：http://chinacustoms-strc.cn/hkzx/zhzx/yqzx/2024031411263935122/index.html）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呼吸道合胞病毒感染疫情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瑞典：2024年第9周（2月26日至3月3日），瑞典报告新增373例呼吸道合胞病毒感染确诊病例。2023年10月2日至2024年3月3日，该国累计报告7955例呼吸道合胞病毒感染确诊病例。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（来源：http://chinacustoms-strc.cn/hkzx/zhzx/yqzx/2024031411263935122/index.html）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轮状病毒感染疫情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澳大利亚：2024年2月5日至2月18日，澳大利亚报告新增238例轮状病毒感染病例。2024年1月1日至2月18日，该国累计报告814例轮状病毒感染病例。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（来源：http://chinacustoms-strc.cn/hkzx/zhzx/yqzx/2024031411263935122/index.html）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韩国：2024年第9周（2月25日至3月2日），韩国报告新增275例结核病病例，2024年累计报告2822例。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（来源：http://chinacustoms-strc.cn/hkzx/zhzx/yqzx/2024031411263935122/index.html）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丙型肝炎疫情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韩国：2024年第9周（2月25日至3月2日），韩国报告新增61例丙型肝炎病例，2024年累计报告1111例。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（来源：http://chinacustoms-strc.cn/hkzx/zhzx/yqzx/2024031411263935122/index.html）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韩国：2024年第9周（2月25日至3月2日），韩国报告新增56例流行性腮腺炎病例，2024年累计报告731例。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（来源：http://chinacustoms-strc.cn/hkzx/zhzx/yqzx/2024031411263935122/index.html）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阿富汗：2024年第9周（2月25日至3月2日），阿富汗报告新增1784例霍乱疑似病例，其中2例死亡。2024年1月1日至3月2日，该国累计报告17350例霍乱疑似病例，其中12例死亡。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（来源：http://chinacustoms-strc.cn/hkzx/zhzx/yqzx/2024031215262795093/index.html）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印度尼西亚：2023年1月1日至2024年3月3日，印度尼西亚累计报告83例猴痘确诊病例。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（来源：http://chinacustoms-strc.cn/hkzx/zhzx/yqzx/2024031215262795093/index.html）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拉沙热疫情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第8周（2月19日至2月25日），尼日利亚报告新增585例拉沙热疑似病例，96例确诊病例，23例死亡病例。2024年1月1日至2月25日，该国累计报告3213例拉沙热疑似病例，其中573例确诊，确诊病例中108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（来源：http://chinacustoms-strc.cn/hkzx/zhzx/yqzx/2024031215262795093/index.html）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索马里：2024年2月28至3月5日，索马里报告新增3例Ⅱ型循环型疫苗衍生脊灰病毒（cVDPV2）病例。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乍得：2024年2月28至3月5日，乍得报告新增1例Ⅱ型循环型疫苗衍生脊灰病毒（cVDPV2）病例。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（来源：http://chinacustoms-strc.cn/hkzx/zhzx/yqzx/2024031215262795093/index.html）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新加坡：2024年第9周（2月25日至3月2日），新加坡报告新增371例登革热病例。2024年1月1日至3月2日，该国累计报告3801例登革热病例。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斯里兰卡：2024年1月1日至3月4日，斯里兰卡累计报告16991例登革热疑似病例。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（来源：http://chinacustoms-strc.cn/hkzx/zhzx/yqzx/2024031215262795093/index.html）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巴西：2024年1月1日至3月2日，巴西累计报告73561例基孔肯雅热疑似病例，其中55438例确诊，15例死亡。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巴拉圭：2024年1月1日至3月2日，巴拉圭累计报告2992例基孔肯雅热疑似病例，其中24例确诊。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（来源：http://chinacustoms-strc.cn/hkzx/zhzx/yqzx/2024031215262795093/index.html）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加拿大：2024年2月18日至2月24日，加拿大报告新增1例麻疹病例。2024年1月1日至2月24日，该国累计报告7例麻疹病例。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（来源：http://chinacustoms-strc.cn/hkzx/zhzx/yqzx/2024031215262795093/index.html）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百日咳疫情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澳大利亚：2024年2月5日至2月18日，澳大利亚报告新增367例百日咳病例。2024年1月1日至2月18日，该国累计报告1248例百日咳病例。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（来源：http://chinacustoms-strc.cn/hkzx/zhzx/yqzx/2024031215262795093/index.html）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美国：2024年第9周（2月25日至3月2日），美国报告新增11294例流感确诊病例。2023年10月1日至2024年3月2日，该国累计报告265074例流感确诊病例，包括194842例甲型流感病例，70232例乙型流感病例。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（来源：http://chinacustoms-strc.cn/hkzx/zhzx/yqzx/2024031215262795093/index.html）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诺如病毒感染疫情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英国：2023年7月3日至2024年2月25日，英国累计报告5118例诺如病毒感染病例。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（来源：http://chinacustoms-strc.cn/hkzx/zhzx/yqzx/2024031215262795093/index.html）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中国台湾：2024年第9周（2月25日至3月2日），中国台湾报告新增42例军团菌病病例，2024年累计报告237例。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（来源：http://chinacustoms-strc.cn/hkzx/zhzx/yqzx/2024031215262795093/index.html）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肺炎链球菌感染疫情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中国台湾：2024年第9周（2月25日至3月2日），中国台湾报告新增12例肺炎链球菌感染病例，2024年累计报告83例。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（来源：http://chinacustoms-strc.cn/hkzx/zhzx/yqzx/2024031215262795093/index.html）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丙型肝炎疫情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中国台湾：2024年第9周（2月25日至3月2日），中国台湾报告新增9例丙型肝炎病例，2024年累计报告79例。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（来源：http://chinacustoms-strc.cn/hkzx/zhzx/yqzx/2024031215262795093/index.html）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二、国内疾控动态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全国现场流行病学调查职业技能竞赛决赛将于3月28日至29日在北京举行</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根据国家卫生健康委、中华全国总工会《关于举办全国卫生健康系统职业技能竞赛的通知》（国卫党委发〔2023〕13号)，全国卫生健康系统职业技能竞赛设立现场流行病学调查竞赛项目。全国现场流行病学调查职业技能竞赛分初赛和决赛两个阶段。初赛由各省（自治区、直辖市）和新疆生产建设兵团疾控局、卫生健康委和总工会（教科文卫体工会）负责具体组织实施，选拔参加决赛选手，相关工作已于2023年底前完成。决赛由国家疾控局、国家卫生健康委和中华全国总工会组织，各地以省份为单位组队参加，决赛包括个人竞赛和团体竞赛两部分。近日，国家疾控局综合司、国家卫生健康委办公厅、中国教科文卫体工会全国委员会印发通知，定于2024年3月28日至3月29日在北京举行全国现场流行病学调查职业技能竞赛决赛。届时，来自31个省（自治区、直辖市）和新疆生产建设兵团的96名流调能手将齐聚北京，同场竞技。根据决赛阶段成绩，本次竞赛设个人及团体一等奖、二等奖、三等奖和优秀奖等奖项，个人总成绩第一名参赛选手，符合条件的推荐申报“全国五一劳动奖章”。现场流行病学调查是各级疾控机构的核心业务。通过本次竞赛，全国疾控系统将进一步营造起学知识、练本领、强技术、夯基础的浓厚氛围，以赛促学、以赛促练、以赛促建、以赛促用，加强疾控流调能力建设，展现疾控队伍专业形象，推进疾控人才队伍建设，促进疾控事业高质量发展。</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（来源：https://www.ndcpa.gov.cn/jbkzzx/c100008/common/content/content_1767848192671129600.html）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国家疾控局党组传达贯彻习近平总书记重要讲话和全国两会精神</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3月12日，国家疾控局党组书记、局长王贺胜主持召开党组扩大会议暨党组理论学习中心组集体学习，传达学习习近平总书记重要讲话和全国两会精神，研究部署贯彻落实有关工作。会议指出，今年是新中国成立75周年，也是实现“十四五”规划目标任务的关键一年，今年的全国两会，对于以中国式现代化全面推进强国建设和民族复兴伟业，具有十分重要的意义。两会期间，习近平总书记发表了一系列重要讲话，提出了许多重大理念、重大论断、重大部署，具有极强的思想性、指导性和现实针对性，为我们奋力谱写中国式现代化的疾控篇章，指明了前进方向，提供了根本遵循。会议强调，要把深入学习贯彻习近平总书记重要讲话和全国两会精神作为当前和今后一个时期的重大政治任务，与学习贯彻党的二十大和二十届二中全会精神、学习贯彻习近平新时代中国特色社会主义思想、学习贯彻习近平总书记关于疾控工作的系列重要论述结合起来，更加坚定拥护“两个确立”，做到“两个维护”，坚决把思想和行动统一到习近平总书记重要讲话和党中央决策部署上来。会议要求，各司各单位要把坚持高质量发展作为新时代疾控工作的硬道理，深刻理解把握因地制宜发展新质生产力这一重要论断的丰富内涵，按照全国两会部署要求，进一步细化实化年度目标任务，更加主动地将疾控重点工作融入党和国家事业发展全局。要抓贯彻落实，对标对表党中央、国务院部署的疾控体系改革和疾控事业高质量发展任务，逐项抓落实，确保见实效。要抓难题破解，敢于直面矛盾，敢啃“硬骨头”，坚持干字当头，强化责任意识，整体谋划、深入调研，全力推动难题解决。要抓机制固化，把新冠疫情防控中和“乙类乙管”实施以来的各项好的工作机制和模式常态化、制度化，不断健全完善新时期传染病防控制度机制，切实织密防护网、筑牢隔离墙。会议强调，要坚持和加强党的全面领导，强化政治机关建设和党风廉政建设，坚定不移推进全面从严治党。要大兴调查研究、坚持敢作善为、保持清廉自守，争当党中央决策部署的执行者、行动派、实干家，脚踏实地、开拓进取，集中精力推动疾控事业高质量发展，为维护人民群众健康福祉、推进中国式现代化建设贡献疾控力量。国家疾控局领导班子成员、中央纪委国家监委驻国家卫生健康委纪检监察组负责同志、局直属机关全国政协委员、各司各单位主要负责同志参加会议。</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（来源：https://www.ndcpa.gov.cn/jbkzzx/c100008/common/content/content_1767775670516752384.html）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国家疾控局积极推进儿童青少年近视防控 近视率呈下降趋势</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近年来，国家疾控局认真贯彻落实习近平总书记关于儿童青少年近视防控的重要指示批示精神，指导各级疾控部门积极配合相关部门落实主体责任，分类指导、综合施策，深入推进儿童青少年近视防控，保护儿童青少年视力健康，儿童青少年总体近视率呈现下降趋势，近视低龄化态势得到缓解。国家疾控局监测数据显示：2022年我国儿童青少年总体近视率为51.9%（其中，小学36.7%，初中71.4%，高中81.2%），总体近视率较2021年（52.6%）下降0.7个百分点，与2018年全国近视摸底调查结果（53.6%）相比，下降1.7个百分点；在已经近视的学生中，轻、中、高度近视分别占53.3%、37.0%、9.7%，高度近视比例降低，我国近视防控工作取得积极成效。一是部门联动发力，推进综合措施。各级疾控部门加强与教育、卫生健康、体育等部门联动，充分发挥公共卫生职能，形成部门合力，开展专家进校园、中小学健康月、学校教学生活环境改善等干预行动，指导各地加强儿童青少年近视综合防控，共同推进各项防控措施落实。二是实现监测全覆盖，开展专项干预。目前我国近视及其影响因素监测已覆盖全国所有区县，各级疾控部门持续对所有地市开展儿童青少年近视监测，继续开展儿童青少年近视防控适宜技术试点，组织专业机构对口分区分片做好技术指导，进一步推广近视防控适宜技术应用。三是完善技术指南，科学指导防控。发布《儿童青少年近视防控公共卫生综合干预技术指南》，抓早抓小、预防为主、防治结合，以增加日间户外活动和体育活动为主要抓手，推动近视、脊柱弯曲异常、超重肥胖等学生常见疾病同防同控。加强对各地指导，促进各地近视防控措施落实落地。四是强化卫生监督，督促整改落实。抽查抽检教室课桌椅配备、教室采光和照明、教室人均面积等学校教学生活环境和学校提供的学习用品达标情况。对未达到要求的事项提出明确整改要求，并督促学校落实。五是加强宣传教育，提高健康素养。通过开展现场宣传活动、专家在线访谈、报刊专栏报道等丰富多样的形式，加强近视防控知识和技能宣教，使学生、家长和教师掌握足量户外活动、保持良好读写姿势等知识，提高视力健康素养。六是推进队伍建设，健全工作体系。加强全国学校卫生管理体系建设，做实做强中国疾控中心专业技术支撑队伍，配齐配强地方各级专业队伍。加强学生近视防控专业队伍建设，加大国家级对各地学生近视防控指导力度，提升专业能力，带动科学开展近视防控。七是强化人员培训，提升专业水平。在全国范围内开展针对近视监测专业技术人员培训，进一步规范近视监测技术方法、数据分析、质量控制等技术要领，提高专业人员近视防控技术水平。下一步，国家疾控局将持续推进近视防控工作，继续加强儿童青少年近视及影响因素的监测评估，推广近视防控适宜技术，加大专业人员培训和技术指南、规范、标准的宣贯普及力度。进一步加强学校卫生监督工作，督促学校严格执行国家标准。做好科普宣传，指导学生、家长和教师了解科学用眼和护眼知识，帮助儿童青少年养成良好用眼卫生习惯。</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（来源：https://www.ndcpa.gov.cn/jbkzzx/c100008/common/content/content_1764617954927783936.html）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三、省内疾控动态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广元市召开传染病监测预警与应急能力提升项目工作推进会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加快传染病监测预警与应急能力提升项目工作步伐，确保项目工作顺利实施、高质量落实，2024年3月13日市疾控中心在应急指挥大厅召开传染病监测预警与应急能力提升项目工作推进会。市卫健委疾控科负责人赵文平、市疾控中心党委委员、副主任付瑜、县区卫健局项目工作负责人、项目工作专班人员及工作人员等30余人参会。会上，市疾控中心相关人员就《中华人民共和国采购法》《广元市卫生健康系统采购实施管理办法》等法律法规进行了讲解。会议通报了前期全市疾控信息安全现状调查和当前项目工作自评报告，对项目所涉及的设备的标准和参数进行了详细讲解。各县区参会人员就项目实施中的难点和可能遇到的问题进行了深入讨论交流。市疾控中心党委委员、副主任付瑜针对当前工作的实施情况工作进行了点评，要求专班工作要加强沟通协调、明确任务分工、强化项目管理、保证设备兼容，确保省市县疾控信息网络与视频互联互通，并希望大家以高度的责任感和使命感，认真履行职责，全力以赴推进项目实施。此次推进会的召开，加快了项目实施进度，规范了项目建设流程，对全市“同步走、一盘棋”实施项目工作具有积极意义。</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（来源：https://www.sccdc.cn/Article/View?id=33183）</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凉山州疾控中心发布节后外出务工劳动者职业健康提示</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春节后，不少人即将返回工作岗位，或是踏上新的求职之路。很多劳动者特别是农民工都不是很了解职业病，没有意识到职业病的危害性和严重性。职业病不仅危害健康，还威胁到生命的安全，给个人、家庭、社会带来一系列影响。在此，凉山州疾控中心发布提示：务工人员，为了自己、家人、社会，请做好个人职业健康管理。凉山州疾控中心提示，劳动者入职前要与用人单位签订劳动合同，并了解用人单位可能存在的职业病危害风险，参加用人单位组织的职业健康检查和职业健康培训。随时留意用人单位的公告栏、岗位附近张贴的警示标识和职业病危害告知卡，知晓自身岗位上存在的职业病危害因素（如粉尘、化学毒物、噪声等）的浓（强）度。在工作中正确使用用人单位提供的各种防护设施、设备（如除尘装置、通风装置、净化装置、隔声装置等）和个人防护用品，严格按照岗位操作规程操作，不在工作中随意串岗。请牢记：劳动合同是保护劳动者合法权益的重要保障，一定要与用人单位签订。《职业病防治法》规定用人单位必须在合同中写明职业病危害的种类及可能产生的后果、采取的职业病防护措施和待遇。请注意试用期也应包含在劳动合同期限内。用人单位必须为劳动者提供合格的个人防护用品。劳动者要知道个人防护用品是最后一道保护我们健康不受损伤的屏障，不能配而不用。职业健康检查可以早期发现职业病病人或疑似职业病病人或劳动者的其他健康异常改变，劳动者在上岗前、在岗期间和离岗时都要到专业的职业健康检查机构进行职业健康检查，体检费用由用人单位承担。劳动者在上岗前，必须进行岗前体检，并确认没有与岗位有关的职业禁忌证后，才能上岗。在岗期间或者离岗时的职业健康体检中，如果身体因接触职业病危害因素造成损害已经达到疑似职业病标准，职业健康检查机构会建议到具有职业病诊断资质的医疗机构进一步诊治，一旦诊断为职业病，会享受相应的职业病患者待遇；如放弃职业健康检查，有可能会使自己的合法权益受损。最后一次在岗期间的职业健康检查是在离岗前的90天内，可视为离岗时检查。离职人员体检不能大意，劳动者在离开用人单位时，有权索取本人职业健康监护档案复印件，用人单位应当如实、无偿提供，并在所提供的复印件上签章。劳动者一定要积极参加上岗前和在岗期间的职业健康培训，学习和掌握相关的职业卫生知识，增强职业病防范意识，做自己健康的第一责任人。</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（来源：https://www.sccdc.cn/Article/View?id=33174）</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巴中市疾控中心开展“三八”国际妇女节主题活动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3月8日，为庆祝第114个“三八”国际妇女节，市疾控中心组织开展“感悟晏阳初平教思想，建设学习型巴中疾控”主题活动。活动参观学习了“晏阳初博士事迹展览馆”，通过参观“巴山之子海外求学”“平民教育定县实验”“抗日教育肩负重任”“乡村改造走向世界”等晏阳初生平事迹，增强了中心干部职工的学习自觉性。参观结束后开展了积极向上、活力四溢的素质拓展活动，通过“一圈到底”“你比我猜”“穿山洞”等趣味比赛，增强了中心干部职工的凝聚力和向心力。通过此次活动，增强了中心职工时刻学习、终身学习的理念，提升了中心职工团结奋进、力争上游的精神，强化了中心职工真抓实干、务求实效的作风，为推动疾控事业高质量发展贡献更多智慧和力量。</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（来源：https://www.sccdc.cn/Article/View?id=33165）</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甘孜州道孚县开展爱耳日宣传活动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2024年3月3日是第二十五个“全国爱耳日”为贯彻落实党中央、国务院决策部署，加强听力残疾预防宣传教育，增强全社会听力健康意识，根据中国残疾人联合会、教育部、工业和信息化部、国家卫生健康委和国家广电总局《关于开展第二十五次“全国爱耳日”宣传教育活动的通知》要求，3月5日早上我中心在县音乐广场开展“科技助听、共享美好生活”宣传活动。此次宣传活动共计受益人数 100 余人，悬挂横幅1条，LED滚动播放宣传标语 10  余次。通过“爱耳日”一系列宣传活动的开展，进一步普及了爱耳、护耳的科学知识，避免和减少耳聋现象的发生，提高听障人群生活质量，唤起全社会都来关注听力健康，从而推进听力残疾预防与康复工作，更好的造福广大聋人朋友及其家庭，促进社会和谐稳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（来源：https://www.sccdc.cn/Article/View?id=33154）</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乐山市井研县疾病预防控制中心开展2024年“3.1世界艾滋病零歧视日”宣传活动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2024年3月1日是第10个“12.1世界零歧视日”,为全面贯彻落实省、市、县关于消除艾滋病、梅毒和乙肝母婴传播项目工作的决策部署,在井研县卫生健康工作领导小组办公室安排部署下,县疾病预防控制中心联合县教育、公安、司法、民政、人力资源和社会保障局、团县委、妇联、卫计监督执法大队、县人民医院、县妇幼保健计划生育服务中心等部门和单位开展“人人有权利,人人享健康”的“世界零歧视日”主题宣传活动。旨在强调维护每个人的权利是我们所有人的责任,每个人都能在终结歧视中发挥作用。在县城西门广场活动现场,悬挂“人人有权利,人人享健康”的活动主题横幅。各相关部门工作人员向过往群众宣传艾滋病防治知识的同时讲解防灾减灾、急救知识、正确辨别新型毒品,发放艾防宣传资料等。集中宣传活动中,县疾控中心性艾科工作人员对过往群众宣传艾滋病防治知识、及派发宣传单,零歧视是艾滋病防治的基础,对艾滋病感染者的歧视比艾滋病病毒本身所导致的死亡更多。所以,对待艾滋病感染者,我们要像对待普通人一样对待他们,让他们得到应有的尊重,用通俗易懂的语言就艾滋病传播方式、如何预防感染艾滋病、主动检测及抗病毒治疗的重要性、艾滋病防控策略及措施、“四免一关怀”政策和法规等多方面防治知识进行了详细的讲解,让大家更加重视预防艾滋病,更加懂得珍爱生命。同时希望他们能够将了解到的相关知识传播给身边的人,引导形成健康的个人行为,保护好自己也保护好别人。本次集中宣传活动现场共有群众300余人参加,其中接受现场咨询的群众200余人,义诊群众有150余人,共发放艾滋病防治知识、艾滋病宣传手袋350个,围裙300个,常见疾病的预防保健知识宣传单及折页800余份,艾滋病防治知识宣传读本400余本,活动取得了预期的效果。</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（来源：https://www.sccdc.cn/Article/View?id=33141）</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方正仿宋_GBK" w:hAnsi="方正仿宋_GBK" w:eastAsia="方正仿宋_GBK" w:cs="方正仿宋_GBK"/>
          <w:color w:val="000000"/>
          <w:kern w:val="0"/>
          <w:sz w:val="32"/>
          <w:szCs w:val="32"/>
          <w:lang w:val="en-US" w:eastAsia="zh-CN"/>
        </w:rPr>
        <w:t xml:space="preserve"/>
      </w:r>
    </w:p>
    <w:sectPr>
      <w:headerReference r:id="rId3" w:type="default"/>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Batang">
    <w:altName w:val="Malgun Gothic"/>
    <w:panose1 w:val="02030600000101010101"/>
    <w:charset w:val="81"/>
    <w:family w:val="roman"/>
    <w:pitch w:val="default"/>
    <w:sig w:usb0="00000000" w:usb1="00000000" w:usb2="00000030" w:usb3="00000000" w:csb0="4008009F" w:csb1="DFD70000"/>
  </w:font>
  <w:font w:name="方正行楷_GBK">
    <w:altName w:val="楷体_GB2312"/>
    <w:panose1 w:val="03000509000000000000"/>
    <w:charset w:val="86"/>
    <w:family w:val="script"/>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A8F72">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2MDA4YTJiMWY2NWVkNmYxZDdkMjAwMDY0ZTMyM2IifQ=="/>
  </w:docVars>
  <w:rsids>
    <w:rsidRoot w:val="009B17AC"/>
    <w:rsid w:val="00020845"/>
    <w:rsid w:val="0003131C"/>
    <w:rsid w:val="00040467"/>
    <w:rsid w:val="0006644A"/>
    <w:rsid w:val="00091111"/>
    <w:rsid w:val="00092CE5"/>
    <w:rsid w:val="000A20BF"/>
    <w:rsid w:val="000A3CAC"/>
    <w:rsid w:val="000C3262"/>
    <w:rsid w:val="000F6A15"/>
    <w:rsid w:val="0010293C"/>
    <w:rsid w:val="001037A6"/>
    <w:rsid w:val="0011630C"/>
    <w:rsid w:val="00164FD5"/>
    <w:rsid w:val="001673A5"/>
    <w:rsid w:val="001742CC"/>
    <w:rsid w:val="00183D80"/>
    <w:rsid w:val="00185647"/>
    <w:rsid w:val="001A2E5E"/>
    <w:rsid w:val="001D580F"/>
    <w:rsid w:val="001E3F72"/>
    <w:rsid w:val="002025F0"/>
    <w:rsid w:val="00214C49"/>
    <w:rsid w:val="00216C84"/>
    <w:rsid w:val="00240798"/>
    <w:rsid w:val="002770FE"/>
    <w:rsid w:val="002945BE"/>
    <w:rsid w:val="002A4A0D"/>
    <w:rsid w:val="002B31C4"/>
    <w:rsid w:val="002E67E1"/>
    <w:rsid w:val="003011E4"/>
    <w:rsid w:val="00303C63"/>
    <w:rsid w:val="00326605"/>
    <w:rsid w:val="0033417D"/>
    <w:rsid w:val="00344887"/>
    <w:rsid w:val="00371938"/>
    <w:rsid w:val="00375E07"/>
    <w:rsid w:val="00380924"/>
    <w:rsid w:val="0039057B"/>
    <w:rsid w:val="003A6E97"/>
    <w:rsid w:val="003B4EB7"/>
    <w:rsid w:val="003B6F3F"/>
    <w:rsid w:val="003B785D"/>
    <w:rsid w:val="003D621D"/>
    <w:rsid w:val="003F6436"/>
    <w:rsid w:val="00417A50"/>
    <w:rsid w:val="00451147"/>
    <w:rsid w:val="004836EB"/>
    <w:rsid w:val="00491D2C"/>
    <w:rsid w:val="0049254E"/>
    <w:rsid w:val="00511615"/>
    <w:rsid w:val="00514468"/>
    <w:rsid w:val="0052083C"/>
    <w:rsid w:val="005264F5"/>
    <w:rsid w:val="00534A97"/>
    <w:rsid w:val="005405FA"/>
    <w:rsid w:val="0055420E"/>
    <w:rsid w:val="00555F6C"/>
    <w:rsid w:val="00570F51"/>
    <w:rsid w:val="005B141D"/>
    <w:rsid w:val="006013AD"/>
    <w:rsid w:val="00605773"/>
    <w:rsid w:val="006321D9"/>
    <w:rsid w:val="00634FB2"/>
    <w:rsid w:val="00653B67"/>
    <w:rsid w:val="00692B69"/>
    <w:rsid w:val="006A50F5"/>
    <w:rsid w:val="006A53E7"/>
    <w:rsid w:val="006C39D8"/>
    <w:rsid w:val="006C5E93"/>
    <w:rsid w:val="007421CD"/>
    <w:rsid w:val="00743358"/>
    <w:rsid w:val="00743BA3"/>
    <w:rsid w:val="00744EC2"/>
    <w:rsid w:val="007477CD"/>
    <w:rsid w:val="007478E4"/>
    <w:rsid w:val="0075449E"/>
    <w:rsid w:val="0075519E"/>
    <w:rsid w:val="007631EC"/>
    <w:rsid w:val="00764C58"/>
    <w:rsid w:val="007A4530"/>
    <w:rsid w:val="007A7421"/>
    <w:rsid w:val="007A7A0C"/>
    <w:rsid w:val="007B3DE4"/>
    <w:rsid w:val="007B73C3"/>
    <w:rsid w:val="007C0A30"/>
    <w:rsid w:val="00843B2B"/>
    <w:rsid w:val="00896403"/>
    <w:rsid w:val="00896B9A"/>
    <w:rsid w:val="008B5FEE"/>
    <w:rsid w:val="008B6915"/>
    <w:rsid w:val="008D336C"/>
    <w:rsid w:val="008E243A"/>
    <w:rsid w:val="008E4CDA"/>
    <w:rsid w:val="00904409"/>
    <w:rsid w:val="009342C9"/>
    <w:rsid w:val="00950447"/>
    <w:rsid w:val="009535F8"/>
    <w:rsid w:val="009721CF"/>
    <w:rsid w:val="0097633B"/>
    <w:rsid w:val="009771B6"/>
    <w:rsid w:val="00990BB8"/>
    <w:rsid w:val="00991C37"/>
    <w:rsid w:val="00995D60"/>
    <w:rsid w:val="00997BEA"/>
    <w:rsid w:val="009B17AC"/>
    <w:rsid w:val="009D1DDA"/>
    <w:rsid w:val="009E12C5"/>
    <w:rsid w:val="009F1543"/>
    <w:rsid w:val="009F1858"/>
    <w:rsid w:val="00A143DB"/>
    <w:rsid w:val="00A2327F"/>
    <w:rsid w:val="00A372C5"/>
    <w:rsid w:val="00A63900"/>
    <w:rsid w:val="00A9471E"/>
    <w:rsid w:val="00AB2C63"/>
    <w:rsid w:val="00AD5B42"/>
    <w:rsid w:val="00AE42F5"/>
    <w:rsid w:val="00B371F3"/>
    <w:rsid w:val="00B40169"/>
    <w:rsid w:val="00B42B8D"/>
    <w:rsid w:val="00B45356"/>
    <w:rsid w:val="00B45741"/>
    <w:rsid w:val="00B9333D"/>
    <w:rsid w:val="00BD6E6A"/>
    <w:rsid w:val="00BD7BB4"/>
    <w:rsid w:val="00BF14A5"/>
    <w:rsid w:val="00C160D8"/>
    <w:rsid w:val="00C22C28"/>
    <w:rsid w:val="00C2689F"/>
    <w:rsid w:val="00C31B72"/>
    <w:rsid w:val="00C35FC1"/>
    <w:rsid w:val="00C40B07"/>
    <w:rsid w:val="00C72A14"/>
    <w:rsid w:val="00CA3E2F"/>
    <w:rsid w:val="00CC4FCF"/>
    <w:rsid w:val="00D05DE9"/>
    <w:rsid w:val="00D25E37"/>
    <w:rsid w:val="00D27EF3"/>
    <w:rsid w:val="00D3376C"/>
    <w:rsid w:val="00D65AF9"/>
    <w:rsid w:val="00D85953"/>
    <w:rsid w:val="00D87893"/>
    <w:rsid w:val="00D92824"/>
    <w:rsid w:val="00DA2859"/>
    <w:rsid w:val="00DB4213"/>
    <w:rsid w:val="00DB6E9B"/>
    <w:rsid w:val="00DC5C3C"/>
    <w:rsid w:val="00DF12D0"/>
    <w:rsid w:val="00DF7C09"/>
    <w:rsid w:val="00DF7E78"/>
    <w:rsid w:val="00E53F98"/>
    <w:rsid w:val="00E65D8D"/>
    <w:rsid w:val="00E71073"/>
    <w:rsid w:val="00E97542"/>
    <w:rsid w:val="00EC1E8B"/>
    <w:rsid w:val="00ED2B0B"/>
    <w:rsid w:val="00EF618B"/>
    <w:rsid w:val="00F131B7"/>
    <w:rsid w:val="00F43AD2"/>
    <w:rsid w:val="00F64966"/>
    <w:rsid w:val="00F91B9F"/>
    <w:rsid w:val="00F927F2"/>
    <w:rsid w:val="00FB572C"/>
    <w:rsid w:val="00FB723A"/>
    <w:rsid w:val="00FD2059"/>
    <w:rsid w:val="00FD65A6"/>
    <w:rsid w:val="00FF11E3"/>
    <w:rsid w:val="00FF6299"/>
    <w:rsid w:val="01ED2398"/>
    <w:rsid w:val="02335DA9"/>
    <w:rsid w:val="02D260E9"/>
    <w:rsid w:val="03E91DDD"/>
    <w:rsid w:val="051A3C2B"/>
    <w:rsid w:val="05556D4A"/>
    <w:rsid w:val="05D13765"/>
    <w:rsid w:val="06C729EE"/>
    <w:rsid w:val="0A4F7D57"/>
    <w:rsid w:val="0A960751"/>
    <w:rsid w:val="0CC325AC"/>
    <w:rsid w:val="0D717680"/>
    <w:rsid w:val="0D8A4002"/>
    <w:rsid w:val="0F6824F9"/>
    <w:rsid w:val="10982C07"/>
    <w:rsid w:val="120D2245"/>
    <w:rsid w:val="126070B3"/>
    <w:rsid w:val="13595D39"/>
    <w:rsid w:val="163041BC"/>
    <w:rsid w:val="174A611D"/>
    <w:rsid w:val="1BF32856"/>
    <w:rsid w:val="1D403E5C"/>
    <w:rsid w:val="1D5E53C1"/>
    <w:rsid w:val="1D961411"/>
    <w:rsid w:val="1EF65C58"/>
    <w:rsid w:val="1FBC4BE0"/>
    <w:rsid w:val="21C46094"/>
    <w:rsid w:val="21EE3E25"/>
    <w:rsid w:val="230B7F6D"/>
    <w:rsid w:val="239439E8"/>
    <w:rsid w:val="245F42F8"/>
    <w:rsid w:val="253A2935"/>
    <w:rsid w:val="25CF3FFB"/>
    <w:rsid w:val="26FC0CDE"/>
    <w:rsid w:val="27CA7EB2"/>
    <w:rsid w:val="2BAB4636"/>
    <w:rsid w:val="2CD14B50"/>
    <w:rsid w:val="30DB016B"/>
    <w:rsid w:val="32CF18BB"/>
    <w:rsid w:val="33F544A4"/>
    <w:rsid w:val="33F90B74"/>
    <w:rsid w:val="34134071"/>
    <w:rsid w:val="349C467A"/>
    <w:rsid w:val="34AB6320"/>
    <w:rsid w:val="36520E8C"/>
    <w:rsid w:val="365315CA"/>
    <w:rsid w:val="3C5B6995"/>
    <w:rsid w:val="3C6E5AD0"/>
    <w:rsid w:val="3C987739"/>
    <w:rsid w:val="3EA20A1E"/>
    <w:rsid w:val="3EE40EAC"/>
    <w:rsid w:val="4065731C"/>
    <w:rsid w:val="41777715"/>
    <w:rsid w:val="41D50012"/>
    <w:rsid w:val="4231349C"/>
    <w:rsid w:val="44653066"/>
    <w:rsid w:val="44E21790"/>
    <w:rsid w:val="467B15AE"/>
    <w:rsid w:val="46F3077F"/>
    <w:rsid w:val="48B77E75"/>
    <w:rsid w:val="4C514F5E"/>
    <w:rsid w:val="4CB75B4C"/>
    <w:rsid w:val="4DA426DF"/>
    <w:rsid w:val="4DA94893"/>
    <w:rsid w:val="4F712F19"/>
    <w:rsid w:val="522E60D3"/>
    <w:rsid w:val="53A51561"/>
    <w:rsid w:val="54114857"/>
    <w:rsid w:val="548958B9"/>
    <w:rsid w:val="55326FD3"/>
    <w:rsid w:val="55766CB9"/>
    <w:rsid w:val="55CF4FEA"/>
    <w:rsid w:val="56C028F9"/>
    <w:rsid w:val="574D608A"/>
    <w:rsid w:val="57786173"/>
    <w:rsid w:val="58FB3C03"/>
    <w:rsid w:val="590F3C63"/>
    <w:rsid w:val="595066BA"/>
    <w:rsid w:val="59F23E13"/>
    <w:rsid w:val="5AF116AA"/>
    <w:rsid w:val="5B23382F"/>
    <w:rsid w:val="5B627450"/>
    <w:rsid w:val="5BC70B49"/>
    <w:rsid w:val="5D932F17"/>
    <w:rsid w:val="5E357838"/>
    <w:rsid w:val="5F5E3609"/>
    <w:rsid w:val="5FA016C5"/>
    <w:rsid w:val="61D246A9"/>
    <w:rsid w:val="62A24A2F"/>
    <w:rsid w:val="65785AC3"/>
    <w:rsid w:val="659643EF"/>
    <w:rsid w:val="660723FD"/>
    <w:rsid w:val="66A1193F"/>
    <w:rsid w:val="66BE5ABF"/>
    <w:rsid w:val="67565299"/>
    <w:rsid w:val="677C5A03"/>
    <w:rsid w:val="6A306296"/>
    <w:rsid w:val="6AA73A7C"/>
    <w:rsid w:val="6CA86A45"/>
    <w:rsid w:val="6CDB7401"/>
    <w:rsid w:val="6CF6384D"/>
    <w:rsid w:val="6E893520"/>
    <w:rsid w:val="6EE2103F"/>
    <w:rsid w:val="6F4320F9"/>
    <w:rsid w:val="71064D70"/>
    <w:rsid w:val="715C3BC7"/>
    <w:rsid w:val="721C0576"/>
    <w:rsid w:val="74962A72"/>
    <w:rsid w:val="752D1882"/>
    <w:rsid w:val="7841786C"/>
    <w:rsid w:val="7A716449"/>
    <w:rsid w:val="7AA775D9"/>
    <w:rsid w:val="7BDB3FB4"/>
    <w:rsid w:val="7D5E7E3F"/>
    <w:rsid w:val="7E1D3F2F"/>
    <w:rsid w:val="7EEE13B1"/>
    <w:rsid w:val="7F1C7DE7"/>
    <w:rsid w:val="7F7F3F0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qFormat/>
    <w:uiPriority w:val="0"/>
    <w:rPr>
      <w:color w:val="000000"/>
      <w:u w:val="none"/>
    </w:rPr>
  </w:style>
  <w:style w:type="character" w:styleId="9">
    <w:name w:val="Hyperlink"/>
    <w:basedOn w:val="7"/>
    <w:qFormat/>
    <w:uiPriority w:val="0"/>
    <w:rPr>
      <w:color w:val="000000"/>
      <w:u w:val="none"/>
    </w:rPr>
  </w:style>
  <w:style w:type="character" w:customStyle="1" w:styleId="10">
    <w:name w:val="页脚 Char"/>
    <w:basedOn w:val="7"/>
    <w:link w:val="2"/>
    <w:qFormat/>
    <w:uiPriority w:val="0"/>
    <w:rPr>
      <w:kern w:val="2"/>
      <w:sz w:val="18"/>
      <w:szCs w:val="18"/>
    </w:rPr>
  </w:style>
  <w:style w:type="character" w:customStyle="1" w:styleId="11">
    <w:name w:val="页眉 Char"/>
    <w:basedOn w:val="7"/>
    <w:link w:val="3"/>
    <w:qFormat/>
    <w:uiPriority w:val="0"/>
    <w:rPr>
      <w:kern w:val="2"/>
      <w:sz w:val="18"/>
      <w:szCs w:val="18"/>
    </w:rPr>
  </w:style>
  <w:style w:type="character" w:customStyle="1" w:styleId="12">
    <w:name w:val="CharAttribute18"/>
    <w:qFormat/>
    <w:uiPriority w:val="0"/>
    <w:rPr>
      <w:rFonts w:ascii="楷体_GB2312" w:eastAsia="楷体_GB2312"/>
      <w:sz w:val="32"/>
    </w:rPr>
  </w:style>
  <w:style w:type="character" w:customStyle="1" w:styleId="13">
    <w:name w:val="CharAttribute14"/>
    <w:qFormat/>
    <w:uiPriority w:val="0"/>
    <w:rPr>
      <w:rFonts w:ascii="仿宋_GB2312" w:eastAsia="仿宋_GB2312"/>
      <w:sz w:val="32"/>
    </w:rPr>
  </w:style>
  <w:style w:type="paragraph" w:customStyle="1" w:styleId="14">
    <w:name w:val="ParaAttribute10"/>
    <w:qFormat/>
    <w:uiPriority w:val="0"/>
    <w:pPr>
      <w:widowControl w:val="0"/>
      <w:spacing w:line="600" w:lineRule="exact"/>
      <w:ind w:firstLine="640"/>
      <w:jc w:val="both"/>
    </w:pPr>
    <w:rPr>
      <w:rFonts w:ascii="Times New Roman" w:hAnsi="Times New Roman" w:eastAsia="Batang" w:cs="Times New Roman"/>
      <w:lang w:val="en-US" w:eastAsia="zh-CN" w:bidi="ar-SA"/>
    </w:rPr>
  </w:style>
  <w:style w:type="paragraph" w:customStyle="1" w:styleId="15">
    <w:name w:val=" Char"/>
    <w:basedOn w:val="1"/>
    <w:next w:val="1"/>
    <w:qFormat/>
    <w:uiPriority w:val="0"/>
    <w:pPr>
      <w:spacing w:line="240" w:lineRule="atLeast"/>
      <w:ind w:left="420" w:firstLine="420"/>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1</Pages>
  <Words>581</Words>
  <Characters>645</Characters>
  <Lines>4</Lines>
  <Paragraphs>1</Paragraphs>
  <TotalTime>3</TotalTime>
  <ScaleCrop>false</ScaleCrop>
  <LinksUpToDate>false</LinksUpToDate>
  <CharactersWithSpaces>661</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2019-11-08T07:11:00Z</dcterms:created>
  <dc:creator>marui</dc:creator>
  <cp:lastModifiedBy>leenkon</cp:lastModifiedBy>
  <cp:lastPrinted>2018-10-16T03:14:00Z</cp:lastPrinted>
  <dcterms:modified xsi:type="dcterms:W3CDTF">2025-07-08T23:03:00Z</dcterms:modified>
  <dc:title>简  报</dc:title>
  <cp:revision>6</cp:revision>
  <dc:description/>
  <dc:identifier/>
  <dc:language/>
  <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358A8739705A45AC9A20CC86123653E7_13</vt:lpwstr>
  </property>
</Properties>
</file>