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standalone='yes'?>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w:body><w:p w14:paraId="47DA9776"><w:pPr><w:widowControl/><w:tabs><w:tab w:val="center" w:pos="4153"/><w:tab w:val="left" w:pos="7155"/></w:tabs><w:jc w:val="center"/><w:rPr><w:rFonts w:hint="default" w:ascii="方正行楷_GBK" w:hAnsi="宋体" w:eastAsia="方正行楷_GBK" w:cs="宋体"/><w:color w:val="FF0000"/><w:kern w:val="0"/><w:sz w:val="280"/><w:szCs w:val="280"/><w:lang w:val="en-US" w:eastAsia="zh-CN"/></w:rPr></w:pPr><w:r><w:rPr><w:rFonts w:hint="eastAsia" w:ascii="方正小标宋简体" w:hAnsi="方正小标宋简体" w:eastAsia="方正小标宋简体" w:cs="方正小标宋简体"/><w:color w:val="FF0000"/><w:kern w:val="0"/><w:sz w:val="88"/><w:szCs w:val="88"/><w:lang w:val="en-US" w:eastAsia="zh-CN"/></w:rPr><w:t>国际国内疾控信息动态</w:t></w:r></w:p><w:p w14:paraId="5E9CD17F"><w:pPr><w:widowControl/><w:tabs><w:tab w:val="center" w:pos="4153"/><w:tab w:val="left" w:pos="9000"/></w:tabs><w:ind w:left="-178" w:leftChars="-85" w:firstLine="179" w:firstLineChars="56"/><w:jc w:val="center"/><w:rPr><w:rFonts w:hint="eastAsia" w:ascii="方正楷体_GBK" w:hAnsi="方正楷体_GBK" w:eastAsia="方正楷体_GBK" w:cs="方正楷体_GBK"/><w:color w:val="000000"/><w:kern w:val="0"/><w:sz w:val="32"/><w:szCs w:val="32"/></w:rPr></w:pPr><w:r><w:rPr><w:rFonts w:hint="eastAsia" w:ascii="方正楷体_GBK" w:hAnsi="方正楷体_GBK" w:eastAsia="方正楷体_GBK" w:cs="方正楷体_GBK"/><w:color w:val="000000"/><w:kern w:val="0"/><w:sz w:val="32"/><w:szCs w:val="32"/></w:rPr><w:t>（</w:t></w:r><w:r><w:rPr><w:rFonts w:hint="default" w:ascii="Times New Roman" w:hAnsi="Times New Roman" w:eastAsia="方正楷体_GBK" w:cs="Times New Roman"/><w:color w:val="000000"/><w:kern w:val="0"/><w:sz w:val="32"/><w:szCs w:val="32"/><w:lang w:val="en-US" w:eastAsia="zh-CN"/></w:rPr><w:t xml:space="preserve">2024</w:t></w:r><w:r><w:rPr><w:rFonts w:hint="eastAsia" w:ascii="方正楷体_GBK" w:hAnsi="方正楷体_GBK" w:eastAsia="方正楷体_GBK" w:cs="方正楷体_GBK"/><w:color w:val="000000"/><w:kern w:val="0"/><w:sz w:val="32"/><w:szCs w:val="32"/><w:lang w:val="en-US" w:eastAsia="zh-CN"/></w:rPr><w:t xml:space="preserve">年 </w:t></w:r><w:r><w:rPr><w:rFonts w:hint="eastAsia" w:ascii="方正楷体_GBK" w:hAnsi="方正楷体_GBK" w:eastAsia="方正楷体_GBK" w:cs="方正楷体_GBK"/><w:color w:val="000000"/><w:kern w:val="0"/><w:sz w:val="32"/><w:szCs w:val="32"/></w:rPr><w:t>第</w:t></w:r><w:bookmarkStart w:id="0" w:name="_GoBack"/><w:r><w:rPr><w:rFonts w:hint="eastAsia" w:ascii="方正楷体_GBK" w:hAnsi="方正楷体_GBK" w:eastAsia="方正楷体_GBK" w:cs="方正楷体_GBK"/><w:color w:val="000000"/><w:kern w:val="0"/><w:sz w:val="32"/><w:szCs w:val="32"/><w:lang w:val="en-US" w:eastAsia="zh-CN"/></w:rPr><w:t xml:space="preserve">三十七</w:t></w:r><w:bookmarkEnd w:id="0"/><w:r><w:rPr><w:rFonts w:hint="eastAsia" w:ascii="方正楷体_GBK" w:hAnsi="方正楷体_GBK" w:eastAsia="方正楷体_GBK" w:cs="方正楷体_GBK"/><w:color w:val="000000"/><w:kern w:val="0"/><w:sz w:val="32"/><w:szCs w:val="32"/></w:rPr><w:t>期）</w:t></w:r></w:p><w:p w14:paraId="006FA456"><w:pPr><w:widowControl/><w:ind w:firstLine="160" w:firstLineChars="50"/><w:jc w:val="left"/><w:rPr><w:rFonts w:eastAsia="仿宋_GB2312"/><w:color w:val="000000"/><w:kern w:val="0"/><w:sz w:val="32"/><w:szCs w:val="32"/></w:rPr></w:pPr></w:p><w:tbl><w:tblPr><w:tblStyle w:val="6"/><w:tblW w:w="0" w:type="auto"/><w:tblInd w:w="68" w:type="dxa"/><w:tblBorders><w:top w:val="none" w:color="auto" w:sz="0" w:space="0"/><w:left w:val="none" w:color="auto" w:sz="0" w:space="0"/><w:bottom w:val="none" w:color="auto" w:sz="0" w:space="0"/><w:right w:val="none" w:color="auto" w:sz="0" w:space="0"/><w:insideH w:val="none" w:color="auto" w:sz="0" w:space="0"/><w:insideV w:val="none" w:color="auto" w:sz="0" w:space="0"/></w:tblBorders><w:tblLayout w:type="fixed"/><w:tblCellMar><w:top w:w="0" w:type="dxa"/><w:left w:w="108" w:type="dxa"/><w:bottom w:w="0" w:type="dxa"/><w:right w:w="108" w:type="dxa"/></w:tblCellMar></w:tblPr><w:tblGrid><w:gridCol w:w="4069"/><w:gridCol w:w="4744"/></w:tblGrid><w:tr w14:paraId="62C0E75A"><w:tblPrEx><w:tblBorders><w:top w:val="none" w:color="auto" w:sz="0" w:space="0"/><w:left w:val="none" w:color="auto" w:sz="0" w:space="0"/><w:bottom w:val="none" w:color="auto" w:sz="0" w:space="0"/><w:right w:val="none" w:color="auto" w:sz="0" w:space="0"/><w:insideH w:val="none" w:color="auto" w:sz="0" w:space="0"/><w:insideV w:val="none" w:color="auto" w:sz="0" w:space="0"/></w:tblBorders><w:tblCellMar><w:top w:w="0" w:type="dxa"/><w:left w:w="108" w:type="dxa"/><w:bottom w:w="0" w:type="dxa"/><w:right w:w="108" w:type="dxa"/></w:tblCellMar></w:tblPrEx><w:trPr><w:trHeight w:val="510" w:hRule="exact"/></w:trPr><w:tc><w:tcPr><w:tcW w:w="4069" w:type="dxa"/><w:noWrap w:val="0"/><w:vAlign w:val="center"/></w:tcPr><w:p w14:paraId="0BA43F13"><w:pPr><w:keepNext w:val="0"/><w:keepLines w:val="0"/><w:pageBreakBefore w:val="0"/><w:widowControl/><w:kinsoku/><w:wordWrap/><w:overflowPunct/><w:topLinePunct w:val="0"/><w:autoSpaceDE/><w:autoSpaceDN/><w:bidi w:val="0"/><w:adjustRightInd w:val="0"/><w:snapToGrid/><w:spacing w:line="240" w:lineRule="auto"/><w:ind w:left="210" w:leftChars="100" w:right="0" w:rightChars="0"/><w:jc w:val="center"/><w:textAlignment w:val="auto"/><w:outlineLvl w:val="0"/><w:rPr><w:rFonts w:eastAsia="方正仿宋_GBK"/><w:color w:val="000000"/><w:kern w:val="0"/><w:sz w:val="32"/><w:szCs w:val="32"/><w:vertAlign w:val="baseline"/></w:rPr></w:pPr><w:r><w:rPr><w:rFonts w:eastAsia="方正仿宋_GBK"/><w:color w:val="000000"/><w:kern w:val="0"/><w:sz w:val="32"/><w:szCs w:val="32"/></w:rPr><w:t>金堂县疾病预防控制中心</w:t></w:r></w:p></w:tc><w:tc><w:tcPr><w:tcW w:w="4744" w:type="dxa"/><w:noWrap w:val="0"/><w:vAlign w:val="center"/></w:tcPr><w:p w14:paraId="49E907EE"><w:pPr><w:keepNext w:val="0"/><w:keepLines w:val="0"/><w:pageBreakBefore w:val="0"/><w:widowControl/><w:kinsoku/><w:wordWrap/><w:overflowPunct/><w:topLinePunct w:val="0"/><w:autoSpaceDE/><w:autoSpaceDN/><w:bidi w:val="0"/><w:adjustRightInd w:val="0"/><w:snapToGrid/><w:spacing w:line="240" w:lineRule="auto"/><w:ind w:right="210" w:rightChars="100"/><w:jc w:val="right"/><w:textAlignment w:val="auto"/><w:outlineLvl w:val="0"/><w:rPr><w:rFonts w:hint="default" w:eastAsia="方正仿宋_GBK"/><w:color w:val="000000"/><w:kern w:val="0"/><w:sz w:val="32"/><w:szCs w:val="32"/><w:vertAlign w:val="baseline"/><w:lang w:val="en-US" w:eastAsia="zh-CN"/></w:rPr></w:pPr><w:r><w:rPr><w:rFonts w:hint="eastAsia" w:eastAsia="方正仿宋_GBK"/><w:color w:val="000000"/><w:kern w:val="0"/><w:sz w:val="32"/><w:szCs w:val="32"/><w:lang w:val="en-US" w:eastAsia="zh-CN"/></w:rPr><w:t xml:space="preserve">二〇二四年九月十六日</w:t></w:r></w:p></w:tc></w:tr></w:tbl><w:p w14:paraId="31BD9088"><w:pPr><w:keepNext w:val="0"/><w:keepLines w:val="0"/><w:pageBreakBefore w:val="0"/><w:widowControl w:val="0"/><w:kinsoku/><w:wordWrap/><w:overflowPunct/><w:topLinePunct w:val="0"/><w:autoSpaceDE/><w:autoSpaceDN/><w:bidi w:val="0"/><w:adjustRightInd/><w:snapToGrid/><w:spacing w:line="360" w:lineRule="exact"/><w:jc w:val="left"/><w:textAlignment w:val="auto"/><w:rPr><w:rFonts w:eastAsia="仿宋_GB2312"/><w:b w:val="0"/><w:bCs/><w:color w:val="000000"/><w:kern w:val="0"/><w:sz w:val="32"/><w:szCs w:val="32"/></w:rPr></w:pPr><w:r><w:rPr><w:rFonts w:eastAsia="仿宋_GB2312"/><w:b w:val="0"/><w:bCs/><w:color w:val="000000"/><w:kern w:val="0"/><w:sz w:val="32"/><w:szCs w:val="32"/></w:rPr><mc:AlternateContent><mc:Choice Requires="wps"><w:drawing><wp:anchor distT="0" distB="0" distL="114300" distR="114300" simplePos="0" relativeHeight="251659264" behindDoc="0" locked="0" layoutInCell="1" allowOverlap="1"><wp:simplePos x="0" y="0"/><wp:positionH relativeFrom="column"><wp:posOffset>-36195</wp:posOffset></wp:positionH><wp:positionV relativeFrom="paragraph"><wp:posOffset>38100</wp:posOffset></wp:positionV><wp:extent cx="5615940" cy="0"/><wp:effectExtent l="0" t="9525" r="3810" b="9525"/><wp:wrapNone/><wp:docPr id="1001" name="Line 6"/><wp:cNvGraphicFramePr/><a:graphic xmlns:a="http://schemas.openxmlformats.org/drawingml/2006/main"><a:graphicData uri="http://schemas.microsoft.com/office/word/2010/wordprocessingShape"><wps:wsp><wps:cNvCnPr/><wps:spPr><a:xfrm><a:off x="0" y="0"/><a:ext cx="5615940" cy="0"/></a:xfrm><a:prstGeom prst="line"><a:avLst/></a:prstGeom><a:ln w="19050" cap="flat" cmpd="sng"><a:solidFill><a:srgbClr val="FF0000"/></a:solidFill><a:prstDash val="solid"/><a:headEnd type="none" w="med" len="med"/><a:tailEnd type="none" w="med" len="med"/></a:ln></wps:spPr><wps:bodyPr upright="1"/></wps:wsp></a:graphicData></a:graphic></wp:anchor></w:drawing></mc:Choice><mc:Fallback><w:pict><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v:fill on="f" focussize="0,0"/><v:stroke weight="1.5pt" color="#FF0000" joinstyle="round"/><v:imagedata o:title=""/><o:lock v:ext="edit" aspectratio="f"/></v:line></w:pict></mc:Fallback></mc:AlternateContent></w:r></w:p><w:p w14:paraId="42C87572"><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黑体_GBK" w:cs="方正仿宋_GBK"/><w:b/><w:color w:val="000000"/><w:kern w:val="0"/><w:sz w:val="28"/><w:szCs w:val="32"/><w:lang w:val="en-US" w:eastAsia="zh-CN"/></w:rPr><w:t xml:space="preserve">一、全球疫情通报</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索马里：2024年8月31日至9月8日，索马里报告新增222例霍乱病例，其中2例确诊。2024年1月1日至9月8日，该国累计报告18440例霍乱病例，其中677例确诊，138例死亡。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黄热病疫情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尼日利亚：2024年7月1日至7月31日，尼日利亚报告新增196例黄热病疑似病例。2024年1月1日至7月31日，该国累计报告1524例黄热病疑似病例，其中5例确诊，1例死亡。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巴西：2024年1月1日至8月31日，巴西累计报告945例猴痘确诊病例。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哥伦比亚：2024年1月1日至8月31日，哥伦比亚累计报告118例猴痘确诊病例。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马来西亚：2024年9月13日，马来西亚报告新增273例登革热病例。2024年1月1日至9月13日，该国累计报告99621例登革热病例，其中88例死亡。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中国香港：2024年9月6日至9月12日，中国香港报告新增3例输入性登革热病例。2024年1月1日至9月12日，中国香港累计报告61例登革热病例，包括4例本土病例和57例输入性病例。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脊髓灰质炎疫情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刚果民主共和国：2024年9月4日至9月10日，刚果民主共和国报告新增1例Ⅱ型循环型疫苗衍生脊灰病毒（cVDPV2）病例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奥罗普切病毒病疫情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哥伦比亚：2024年1月1日至8月31日，哥伦比亚累计报告74例奥罗普切病毒病确诊病例。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美国：2024年1月1日至8月31日，美国累计报告21例输入性奥罗普切病毒病确诊病例。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寨卡病毒病疫情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萨尔瓦多：2024年1月1日至8月31日，萨尔瓦多累计报告62例寨卡病毒病疑似病例。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秘鲁：2024年1月1日至8月31日，秘鲁累计报告11例寨卡病毒病疑似病例。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基孔肯雅热疫情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伊拉克：2024年9与10日，伊拉克杜胡克省报告新增3例基孔肯雅热确诊病例。2024年1月1日至9月10日，该省累计报告5例基孔肯雅热确诊病例，其中1例死亡。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麻疹疫情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阿富汗：2024年第36周（9月1日至9月7日），阿富汗报告新增892例麻疹疑似病例，其中4例死亡。2024年1月1日至9月7日，该国累计报告49276例麻疹疑似病例，其中223例死亡。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斯里兰卡：2024年第31周（7月27日至8月2日），斯里兰卡报告新增171例水痘病例。2024年1月1日至8月2日，该国累计报告4962例水痘病例。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军团菌病疫情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中国台湾：2024年第36周（9月1日至9月7日），中国台湾报告新增22例军团菌病病例，2024年累计报告805例。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流行性腮腺炎疫情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中国台湾：2024年第36周（9月1日至9月7日），中国台湾报告新增5例流行性腮腺炎病例，2024年累计报告273例。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阿米巴性痢疾疫情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中国台湾：2024年第36周（9月1日至9月7日），中国台湾报告新增10例阿米巴性痢疾病例，2024年累计报告224例。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（来源：http://chinacustoms-strc.cn/hkzx/zhzx/yqzx/2024091814111794792/index.html）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布隆迪：2024年8月31日至9月8日，布隆迪报告新增15例霍乱疑似病例。2024年1月1日至9月8日，该国累计报告702例霍乱疑似病例，其中3例死亡。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鼠疫疫情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马达加斯加：2024年9月11日，马达加斯加Ambositra区报告2例鼠疫疑似病例，病例均已死亡。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美国：2024年1月1日至8月24日，美国累计报告1816例猴痘确诊病例。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加拿大：2024年1月1日至8月24日，加拿大累计报告178例猴痘确诊病例。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巴西：2024年8月25日至8月31日，巴西报告新增51742例登革热疑似病例。2024年1月1日至8月31日，该国累计报告9527130例登革热疑似病例，其中5372765例确诊，5250例死亡。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阿根廷：2024年8月18日至8月24日，阿根廷报告新增623例登革热疑似病例。2024年1月1日至8月24日，该国累计报告567233例登革热疑似病例，其中187078例确诊，408例死亡。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脊髓灰质炎疫情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阿富汗：2024年9月4日至9月10日，阿富汗报告新增1例I型野生脊灰病毒（WPV1）病例。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基孔肯雅热疫情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秘鲁：2024年1月1日至8月31日，秘鲁累计报告83例基孔肯雅热疑似病例，其中11例确诊。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哥伦比亚：2024年1月1日至8月31日，哥伦比亚累计报告64例基孔肯雅热疑似病例。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麻疹疫情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赞比亚：2024年1月1日至8月4日，赞比亚累计报告4259例麻疹疑似病例，其中179例确诊。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结核病疫情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斯里兰卡：2024年第31周（7月27日至8月2日），斯里兰卡报告新增302例结核病病例。2024年1月1日至8月2日，该国累计报告5571例结核病病例。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疟疾疫情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阿富汗：2024年第35周（8月25日至8月31日），阿富汗报告新增3489例疟疾确诊病例。2024年1月1日至8月31日，该国累计报告47375例疟疾确诊病例，其中2例死亡。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弯曲杆菌病疫情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美国：2024年第35周（8月25日至8月31日），美国报告新增802例弯曲杆菌病病例，2024年累计报告52164例。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球孢子菌病疫情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美国：2024年第35周（8月25日至8月31日），美国报告新增58例球孢子菌病病例，2024年累计报告16083例。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百日咳疫情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美国：2024年第35周（8月25日至8月31日），美国报告新增251例结核病病例，2024年累计报告12927例。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（来源：http://chinacustoms-strc.cn/hkzx/zhzx/yqzx/2024091413521343541/index.html）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尼日利亚：2024年第35周（8月26日至9月1日），尼日利亚报告新增62例霍乱疑似病例，其中1例死亡。2024年1月1日至9月1日，该国累计报告7056例霍乱疑似病例，其中204例死亡。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黄热病疫情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刚果共和国：2024年6月29日至8月31日，刚果共和国报告新增78例黄热病病例，其中2例确诊。2024年1月1日至8月31日，该国累计报告340例黄热病病例，其中13例确诊。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利比里亚：2024年8月24日至9月8日，利比里亚报告新增87例猴痘病例，其中2例确诊。2024年1月1日至9月8日，该国累计报告93例猴痘病例，其中8例确诊。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厄瓜多尔：2024年8月18日至8月31日，厄瓜多尔报告新增1415例登革热确诊病例。2024年1月1日至8月31日，该国累计报告50408例登革热确诊病例，其中59例死亡。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哥斯达黎加：2024年8月18日至8月24日，哥斯达黎加报告新增927例登革热疑似病例。2024年1月1日至8月24日，该国累计报告19938例登革热疑似病例，其中906例确诊。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裂谷热疫情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乌干达：2024年3月1日至7月29日，乌干达累计报告16例裂谷热病例，其中5例确诊，5例死亡。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寨卡病毒病疫情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巴西：2024年1月1日至8月24日，巴西累计报告35751例寨卡病毒病疑似病例，其中1865例确诊。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玻利维亚：2024年1月1日至8月31日，玻利维亚累计报告213例寨卡病毒病疑似病例。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克里米亚-</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刚果出血热疫情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阿富汗：2024年第35周（8月25日至8月31日），阿富汗报告新增33例克里米亚-刚果出血热疑似病例，其中2例死亡。2024年1月1日至8月31日，该国累计报告941例克里米亚-刚果出血热疑似病例，其中237例确诊，78例死亡。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麻疹疫情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埃塞俄比亚：2024年8月31日至9月8日，埃塞俄比亚报告新增87例麻疹疑似病例。2024年1月1日至9月8日，该国累计报告27514例麻疹疑似病例，其中211例死亡。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加蓬：2024年6月29日至9月8日，加蓬报告新增71例麻疹疑似病例。2024年1月1日至9月8日，该国累计报告279例麻疹疑似病例，其中1例死亡。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利什曼病疫情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斯里兰卡：2024年第31周（7月27日至8月2日），斯里兰卡报告新增57例利什曼病病例。2024年1月1日至8月2日，该国累计报告2353例利什曼病病例。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结核病疫情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日本：2024年第35周（8月26日至9月1日），日本报告新增257例结核病病例，2024年累计报告10161例。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肠出血性大肠杆菌感染疫情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日本：2024年第35周（8月26日至9月1日），日本报告新增139例肠出血性大肠杆菌感染病例，2024年累计报告2209例。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军团菌病疫情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日本：2024年第35周（8月26日至9月1日），日本报告新增43例军团菌病病例，2024年累计报告1437例。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（来源：http://chinacustoms-strc.cn/hkzx/zhzx/yqzx/2024091408405247680/index.html）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阿富汗：2024年第35周（8月25日至8月31日），阿富汗报告新增5193例霍乱疑似病例，其中3例死亡。2024年1月1日至8月31日，该国累计报告125471例霍乱疑似病例，其中60例死亡。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中国台湾：2024年9月3日至9月9日，中国台湾报告新增5例猴痘确诊病例。2024年1月1日至9月9日，中国台湾累计报告55例猴痘确诊病例，包括51例本土病例和4例输入性病例。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越南：2024年第35周（8月26日至9月1日），越南报告新增3700例登革热病例。2024年1月1日至9月1日，该国累计报告67748例登革热病例，其中10例死亡。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老挝：2024年第34周（8月19日至8月25日），老挝报告新增940例登革热病例。2024年1月1日至8月25日，该国累计报告12316例登革热病例。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脊髓灰质炎疫情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刚果民主共和国：2024年8月28日至9月3日，刚果民主共和国报告新增2例Ⅱ型循环型疫苗衍生脊灰病毒（cVDPV2）病例。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基孔肯雅热疫情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阿根廷：2024年1月1日至8月24日，阿根廷累计报告768例基孔肯雅热确诊病例。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玻利维亚：2024年1月1日至8月31日，玻利维亚累计报告409例基孔肯雅热疑似病例。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东方马脑炎疫情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美国：2024年9月9日，美国马萨诸塞州报告新增1例东方马脑炎病例。2024年1月1日至9月9日，该州累计报告4例东方马脑炎病例。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麻疹疫情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刚果共和国：2024年8月31日至9月8日，刚果共和国报告新增89例麻疹病例，其中2例确诊。2024年1月1日至9月8日，该国累计报告2961例麻疹病例，其中621例确诊，3例死亡。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喀麦隆：2024年7月27日至9月8日，喀麦隆报告新增209例麻疹病例，其中65例确诊。2024年1月1日至9月8日，该国累计报告2130例麻疹病例，其中670例确诊，38例死亡。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流感疫情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美国：2024年第35周（8月25日至8月31日），美国报告新增168例流感确诊病例。2023年10月1日至2024年8月31日，该国累计报告351449例流感确诊病例，包括243048例甲型流感病例，108401例乙型流感病例。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钩端螺旋体病疫情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斯里兰卡：2024年第31周（7月27日至8月2日），斯里兰卡报告新增190例钩端螺旋体病病例。2024年1月1日至8月2日，该国累计报告7102例钩端螺旋体病病例。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百日咳疫情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韩国：2024年第35周（8月25日至8月31日），韩国报告新增623例百日咳病例，2024年累计报告19687例。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结核病疫情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韩国：2024年第35周（8月25日至8月31日），韩国报告新增333例结核病病例，2024年累计报告10213例。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猩红热疫情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韩国：2024年第35周（8月25日至8月31日），韩国报告新增72例猩红热病例，2024年累计报告4041例。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（来源：http://chinacustoms-strc.cn/hkzx/zhzx/yqzx/2024091408405330943/index.html）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科摩罗：2024年2月2日至8月18日，科摩罗累计报告10342例霍乱疑似病例，其中1100例确诊，149例死亡。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科特迪瓦：2024年8月5日至9月1日，科特迪瓦报告新增22例猴痘确诊病例。2024年1月1日至9月1日，该国累计报告28例猴痘确诊病例，其中1例死亡。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乌干达：2024年8月5日至9月1日，乌干达报告新增8例猴痘确诊病例。2024年1月1日至9月1日，该国累计报告10例猴痘确诊病例。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泰国：2024年第35周（8月26日至9月1日），泰国报告新增1361例登革热病例，其中1例死亡。2024年1月1日至9月1日，该国累计报告68329例登革热病例，其中51例死亡。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斯里兰卡：2024年第34周（8月19日至8月25日），斯里兰卡报告新增826例登革热病例。2024年1月1日至8月25日，该国累计报告35947例登革热病例。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脊髓灰质炎疫情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印度尼西亚：2024年8月28日至9月3日，印度尼西亚报告新增3例Ⅱ型循环型疫苗衍生脊灰病毒（cVDPV2）病例。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阿富汗：2024年8月28日至9月3日，阿富汗报告新增1例I型野生脊灰病毒（WPV1）病例。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奥罗普切病毒病疫情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秘鲁：2024年1月1日至8月31日，秘鲁累计报告930例奥罗普切病毒病确诊病例。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古巴：2024年1月1日至8月31日，古巴累计报告506例奥罗普切病毒病确诊病例。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麻疹疫情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摩洛哥：2024年8月31日至9月8日，摩洛哥报告新增287例麻疹病例，其中141例确诊，4例死亡。2024年1月1日至9月8日，该国累计报告11334例麻疹病例，其中4091例确诊，55例死亡。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伤寒疫情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索马里：2024年1月1日至8月25日，索马里累计报告17486例伤寒疑似病例。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军团菌病疫情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中国香港：2024年9月1日至9月7日，中国香港报告新增4例军团菌病病例。2024年1月1日至9月7日，中国香港累计报告78例军团菌病病例。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沙门氏菌感染疫情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新加坡：2024年第35周（8月25日至8月31日），新加坡报告新增42例沙门氏菌感染病例，2024年累计报告985例。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弯曲杆菌病疫情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新加坡：2024年第35周（8月25日至8月31日），新加坡报告新增4例弯曲杆菌病病例，2024年累计报告332例。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流行性腮腺炎疫情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新加坡：2024年第35周（8月25日至8月31日），新加坡报告新增4例流行性腮腺炎病例，2024年累计报告176例。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（来源：http://chinacustoms-strc.cn/hkzx/zhzx/yqzx/2024091117462056356/index.html）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霍乱疫情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喀麦隆：2024年7月27日至9月8日，喀麦隆报告新增60例霍乱疑似病例。2024年1月1日至9月8日，该国累计报告499例霍乱病例，其中1例确诊。</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猴痘疫情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尼日利亚：2024年8月5日至9月1日，尼日利亚报告新增17例猴痘确诊病例。2024年1月1日至9月1日，该国累计报告55例猴痘确诊病例。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中非共和国：2024年8月5日至9月1日，中非共和国报告新增5例猴痘确诊病例。2024年1月1日至9月1日，该国累计报告48例猴痘确诊病例，其中1例死亡。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登革热疫情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马来西亚：2024年9月8日，马来西亚报告新增170例登革热病例。2024年1月1日至9月8日，该国累计报告98205例登革热病例，其中88例死亡。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中国香港：2024年8月30日至9月5日，中国香港报告新增4例输入性登革热病例。2024年1月1日至9月5日，中国香港累计报告58例登革热病例，包括4例本土病例和54例输入性病例。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脊髓灰质炎疫情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尼日利亚：2024年8月28日至9月3日，尼日利亚报告新增7例Ⅱ型循环型疫苗衍生脊灰病毒（cVDPV2）病例。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尼日尔：2024年8月28日至9月3日，尼日尔报告新增2例Ⅱ型循环型疫苗衍生脊灰病毒（cVDPV2）病例。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奥罗普切病毒病疫情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巴西：2024年1月1日至8月31日，巴西累计报告7931例奥罗普切病毒病确诊病例，其中2例死亡。</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玻利维亚：2024年1月1日至8月31日，玻利维亚累计报告356例奥罗普切病毒病确诊病例。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东方马脑炎疫情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美国：2024年9月5日，美国马萨诸塞州报告新增1例东方马脑炎病例。2024年1月1日至9月5日，该州累计报告3例东方马脑炎病例。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白喉疫情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索马里：2024年8月19日至8月25日，索马里报告新增20例白喉疑似病例。2024年1月1日至8月25日，该国累计报告613例白喉疑似病例。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类鼻疽疫情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中国香港：2024年8月30日至9月5日，中国香港报告新增1例类鼻疽确诊病例。2024年1月1日至9月5日，中国香港累计报告13例类鼻疽确诊病例。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军团菌病疫情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中国台湾：2024年第35周（8月25日至8月31日），中国台湾报告新增21例军团菌病病例，2024年累计报告783例。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丙型肝炎疫情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中国台湾：2024年第35周（8月25日至8月31日），中国台湾报告新增8例丙型肝炎病例，2024年累计报告299例。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阿米巴性痢疾疫情</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中国台湾：2024年第35周（8月25日至8月31日），中国台湾报告新增4例阿米巴性痢疾病例，2024年累计报告214例。</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（来源：http://chinacustoms-strc.cn/hkzx/zhzx/yqzx/2024091108372540352/index.html）</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黑体_GBK" w:cs="方正仿宋_GBK"/><w:b/><w:color w:val="000000"/><w:kern w:val="0"/><w:sz w:val="28"/><w:szCs w:val="32"/><w:lang w:val="en-US" w:eastAsia="zh-CN"/></w:rPr><w:t xml:space="preserve">二、国内疾控动态</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沈洪兵会见全球疫苗免疫联盟首席执行官尼什塔尔</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9月6日，国家疾控局副局长沈洪兵在京会见来访的全球疫苗免疫联盟首席执行官尼什塔尔，就深化双方合作进行交流。沈洪兵对尼什塔尔就任后首次访华表示欢迎。他表示，中国与全球疫苗免疫联盟历来保持良好合作关系，高度赞赏全球疫苗免疫联盟为推动全球免疫规划事业所做的贡献。中方愿与全球疫苗免疫联盟继续深化合作，共同促进中国及发展中国家免疫规划事业发展，推动构建人类卫生健康共同体。尼什塔尔对中方在传染病防控和免疫规划方面取得的成效表示赞赏，表示愿支持中方在全球免疫规划事业中发挥重要作用，共同提高全人类健康福祉。国家疾控局规财法规司、卫生免疫司、科教国际司有关负责同志陪同会见。</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（来源：https://www.ndcpa.gov.cn/jbkzzx/c100008/common/content/content_1834430885132087296.html）</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王贺胜率团访问香港、澳门</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2024年9月1日至5日，国家卫生健康委副主任、国家疾控局局长王贺胜率团访问香港、澳门。在香港访问期间，王贺胜与香港特别行政区医务卫生局局长卢宠茂、澳门特别行政区社会文化司司长欧阳瑜座谈，并签署《关于传染病突发公共卫生事件应急机制的合作协议》。三方一致同意推进《合作协议》落实，进一步深化在传染病疫情信息通报、应急处置协调联动及传染病突发公共卫生事件应急技术、培训和科研等方面的合作与交流。王贺胜表示，愿与港澳加强在相关领域的交流互鉴，进一步提高三地传染病防控工作水平，共同推进实施健康中国战略。代表团还与香港卫生署、澳门卫生局、香港大学公共卫生学院、香港赛马会公益慈善研究院进行了座谈，并走访了澳门公共卫生和医疗机构，就传染病监测与防控、公共卫生人才培养和人员交流、科技创新驱动疾控事业发展、医防协同和医防融合等领域进行了深入交流。局综合司、应急处置司、科教国际司有关负责同志陪同访问。</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（来源：https://www.ndcpa.gov.cn/jbkzzx/c100008/common/content/content_1833104511607877632.html）</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黑体_GBK" w:cs="方正仿宋_GBK"/><w:b/><w:color w:val="000000"/><w:kern w:val="0"/><w:sz w:val="28"/><w:szCs w:val="32"/><w:lang w:val="en-US" w:eastAsia="zh-CN"/></w:rPr><w:t xml:space="preserve">三、省内疾控动态</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省疾控中心专家组到广安市开展艾滋病丙肝防治数据质量评估工作</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9月2—4日，省疾控中心性艾所杨一挥副所长一行10人对广安市广安区、邻水县开展艾滋病和丙肝防治数据质量现场核查和评估。专家组在两地疾控中心、抗病毒治疗定点机构、基层随访管理机构等6家单位现场，通过查阅资料、核对数据、个人访谈等方式，对艾滋病病例报告、哨点监测、高危人群行为干预、美沙酮维持治疗、抗病毒治疗、随访管理及丙肝病例报告和管理、丙肝哨点监测等内容进行了全面核查和评估。随后，在反馈会上，专家组对我市今年以来在艾滋病和丙肝防治工作上取得的成绩给予了充分肯定，并结合此次核查情况为我市进一步提高防治工作质量提出了宝贵的指导意见。此次数据质量评估，不仅是对我市艾滋病丙肝防治工作数据质量的一次检验，更是对我市艾滋病丙肝防治工作人员能力提升的专业辅导。下一步，我市将认真贯彻落实专家组的指导意见，进一步提升艾滋病和丙肝防治数据质量，充分发挥艾滋病和丙肝数据信息在艾滋病和丙肝防治决策中的技术支撑作用，不断推动全市艾滋病和丙肝防治工作提质增效。</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（来源：https://www.sccdc.cn/Article/View?id=34774）</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雅安市疾控中心开展2024年死因漏报调查工作现场技术指导</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为评估死因监测数据的完整性，获取真实的死亡报告率，确保我市2024年死因漏报调查工作的高质量开展，雅安市疾控中心慢病科组织工作人员于8月20日-9月6日期间对全市的死因漏报调查工作开展现场技术指导。本次现场技术指导覆盖8个县区，共指导15家开展漏报调查的医疗卫生机构。工作人员通过查看原始资料、对比系统死亡名单、多数据库匹配等方式核查死亡名单完整性，并现场座谈了解工作开展流程以及薄弱环节。本次指导发现各县区收集的死亡名单均不完整、新进工作人员对工作流程不熟悉，雨城区、荥经县、宝兴县死因漏报调查工作进度滞后。针对发现的问题，工作人员均逐项给予指导建议。通过本次现场技术指导，各级人员进一步提升了对死因漏报调查工作的认识，规范了死因漏报调查工作开展流程，提高了雅安市市死因监测数据的准确性，为估计死因漏报率、分析期望寿命提供了科学依据。</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（来源：https://www.sccdc.cn/Article/View?id=34749）</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广元市成功举办2024年全市核与辐射事故卫生应急培训</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为及时、有序、高效、规范地开展核与辐射事故医学救援，提升我市核与辐射事故现场医学救援能力与水平， 9月5日-6日，由广元市卫生健康委主办、广元市疾控中心承办的全市核与辐射事故卫生应急培训如期举行，各县区及市直属相关单位的应急队员共计110余人参会。此次培训由广元市疾控中心党委委员、副主任薛蓉主持，广元市卫生健康委安全应急办主任谢小平致辞。培训班特别邀请省疾控中心职辐所副所长刘德明，核工业四一六医院核应急办公室副主任王敏，成都理工大学教授谷懿等专家亲临授课，详细解读《四川省核与辐射事故卫生应急预案》，讲解现场核应急与辐射的基础知识，并组织学员观看核与辐射事故卫生应急演练视频。此次培训班的成功举办，全面提高了广元市核与辐射应急救援的整体能力，进一步加强了应急队员们相互协作、彼此配合的实践经验，为保障区域群众的健康安全奠定了扎实的基础。</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（来源：https://www.sccdc.cn/Article/View?id=34723）</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凉山州卫生健康科普宣传及风险行为干预能力提升项目第一期培训班成功举办</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为提高凉山州州、县、乡健康科普工作者的健康教育基本理论知识水平及开展健康教育的实践能力，建立完善凉山州科普专家库，为持续开展能力提升培训和科普工作技能动态指导打下基础，凉山州疾病预防控制中心于2024年 8月底在西昌市唯尚酒店举办凉山州卫生健康科普宣传及风险行为干预能力提升项目第一期培训班（健康教育基本理论和技能培训）。本次培训班由四川省科学技术厅立项的凉山州卫生健康科普宣传及风险行为干预能力提升项目支持，该项目由凉山疾病预防控制中心和成都中医药大学联合成功申报，旨在有效提升我州卫生健康科普服务能力。培训班由州疾控中心慢性非传染性疾病控制所所长廖强主持。州级相关单位卫生健康科普专家，西昌、会东、德昌、盐源、宁南、会理6县（市）疾控中心健康教育骨干及其所辖乡镇卫生院（社区卫生服务中心）健康科普专家，共计71人参会。培训班邀请了四川大学华西公共卫生学院教授张建新、四川省疾控中心健康教育所专家张盼、凉山州疾病预防控制中心健康教育专家毛光玉、西昌市疾病预防控制中心健康宣教科专家李波到会并就行为改变交流、健康科普基本理论和技能、新版健康素养66条和基层科普宣传实践经验作了专题授课。本次培训班上，参会县（市）及所辖乡镇分别派出参会代表分享了在日常科普工作中所积累的经验，并提出了基层科普工作中的主要困难。培训班就基层提出的卫生健康科普工作所面临的困难展开了讨论，对今后科普工作服务能力提升集思广益。通过本次培训班的成功举办，我州卫生健康科普专家库得到进一步的夯实，参会县（市）卫生健康科普代表的健康科普基础理论、健康科普基本知识和科普实践能力均得到了全方位的提升，为我州健康中国行动健康素养提升专项行动目标的实现打下了坚实的基础。</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808080"/><w:kern w:val="0"/><w:sz w:val="19"/><w:szCs w:val="32"/><w:lang w:val="en-US" w:eastAsia="zh-CN"/></w:rPr><w:t xml:space="preserve">（来源：https://www.sccdc.cn/Article/View?id=34694）</w:t></w:r></w:p><w:p><w:pPr><w:keepNext w:val="0"/><w:keepLines w:val="0"/><w:pageBreakBefore w:val="0"/><w:widowControl/><w:tabs><w:tab w:val="center" w:pos="4153"/><w:tab w:val="left" w:pos="9000"/></w:tabs><w:kinsoku/><w:wordWrap/><w:overflowPunct/><w:topLinePunct w:val="0"/><w:autoSpaceDE/><w:autoSpaceDN/><w:bidi w:val="0"/><w:adjustRightInd/><w:snapToGrid/><w:spacing w:line="440" w:lineRule="exact"/><w:jc w:val="center"/><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b/><w:color w:val="000000"/><w:kern w:val="0"/><w:sz w:val="24"/><w:szCs w:val="32"/><w:lang w:val="en-US" w:eastAsia="zh-CN"/></w:rPr><w:t xml:space="preserve">巴中市疾控中心召开政治业务学习会议和职工大会，安排部署近期相关工作</w:t></w:r></w:p><w:p><w:pPr><w:keepNext w:val="0"/><w:keepLines w:val="0"/><w:pageBreakBefore w:val="0"/><w:widowControl/><w:tabs><w:tab w:val="center" w:pos="4153"/><w:tab w:val="left" w:pos="9000"/></w:tabs><w:kinsoku/><w:wordWrap/><w:overflowPunct/><w:topLinePunct w:val="0"/><w:autoSpaceDE/><w:autoSpaceDN/><w:bidi w:val="0"/><w:adjustRightInd/><w:snapToGrid/><w:spacing w:line="360" w:lineRule="exact"/><w:ind w:firstLine="480"/><w:jc w:val="left"/><w:textAlignment w:val="auto"/><w:rPr><w:rFonts w:hint="eastAsia" w:ascii="方正仿宋_GBK" w:hAnsi="方正仿宋_GBK" w:eastAsia="方正仿宋_GBK" w:cs="方正仿宋_GBK"/><w:color w:val="000000"/><w:kern w:val="0"/><w:sz w:val="32"/><w:szCs w:val="32"/><w:lang w:val="en-US" w:eastAsia="zh-CN"/></w:rPr></w:pPr><w:r><w:rPr><w:rFonts w:hint="eastAsia" w:ascii="Times New Roman" w:hAnsi="Times New Roman" w:eastAsia="方正仿宋_GBK" w:cs="方正仿宋_GBK"/><w:color w:val="000000"/><w:kern w:val="0"/><w:sz w:val="21"/><w:szCs w:val="32"/><w:lang w:val="en-US" w:eastAsia="zh-CN"/></w:rPr><w:t xml:space="preserve">近期，市疾控中心党支部书记、主任罗友军主持召开2024年第七次政治业务学习会议和职工大会，安排部署了近期相关工作，中心全体干部职工参加。政治学习会议传达学习了贯彻党的二十届三中全会精神中央宣讲团报告会议精神，组织开展了党的二十届三中全会精神宣讲。业务学习会议开展了《三减三健简介》专题讲座。职工大会传达学习了省十四届人大三次会议精神、唐雪峰同志在全省疾控系统“疾控事业高质量发展暨党纪学习教育研学活动”上的讲话精神、市政府五届第71次常务会议精神以及《四川省安全生产委员会办公室印发<关于有限空间作业中毒和窒息事故（事件）联合调查有关情况的报告>的通知》文件精神。罗友军在安排部署中心近期工作时强调了五项重点工作：一是“双创”工作，务必背水一战，创建成功；二是安全生产工作，务必高度警醒，严防事故发生；三是年度重点目标任务，务必全力冲刺，按时完成；四是省委巡视工作，务必高度重视，自觉遵守纪律；五是人才招引工作，务必全面动员，做好后勤保障。</关于有限空间作业中毒和窒息事故（事件）联合调查有关情况的报告></w:t></w:r><w:p><w:pPr><w:keepNext w:val="0"/><w:keepLines w:val="0"/><w:pageBreakBefore w:val="0"/><w:widowControl/><w:tabs><w:tab w:val="center" w:pos="4153"/><w:tab w:val="left" w:pos="9000"/></w:tabs><w:kinsoku/><w:wordWrap/><w:overflowPunct/><w:topLinePunct w:val="0"/><w:autoSpaceDE/><w:autoSpaceDN/><w:bidi w:val="0"/><w:adjustRightInd/><w:snapToGrid/><w:spacing w:line="570" w:lineRule="exact"/><w:jc w:val="left"/><w:textAlignment w:val="auto"/><w:rPr><w:rFonts w:hint="eastAsia" w:ascii="方正仿宋_GBK" w:hAnsi="方正仿宋_GBK" w:eastAsia="方正仿宋_GBK" w:cs="方正仿宋_GBK"/><w:color w:val="000000"/><w:kern w:val="0"/><w:sz w:val="32"/><w:szCs w:val="32"/><w:lang w:val="en-US" w:eastAsia="zh-CN"/></w:rPr></w:pPr><w:r><w:rPr><w:rFonts w:hint="eastAsia" w:ascii="方正仿宋_GBK" w:hAnsi="方正仿宋_GBK" w:eastAsia="方正仿宋_GBK" w:cs="方正仿宋_GBK"/><w:color w:val="000000"/><w:kern w:val="0"/><w:sz w:val="32"/><w:szCs w:val="32"/><w:lang w:val="en-US" w:eastAsia="zh-CN"/></w:rPr><w:t xml:space="preserve">（来源：https://www.sccdc.cn/Article/View?id=34673）</w:t></w:r></w:p><w:p><w:pPr><w:keepNext w:val="0"/><w:keepLines w:val="0"/><w:pageBreakBefore w:val="0"/><w:widowControl/><w:tabs><w:tab w:val="center" w:pos="4153"/><w:tab w:val="left" w:pos="9000"/></w:tabs><w:kinsoku/><w:wordWrap/><w:overflowPunct/><w:topLinePunct w:val="0"/><w:autoSpaceDE/><w:autoSpaceDN/><w:bidi w:val="0"/><w:adjustRightInd/><w:snapToGrid/><w:spacing w:line="570" w:lineRule="exact"/><w:jc w:val="left"/><w:textAlignment w:val="auto"/><w:rPr><w:rFonts w:hint="eastAsia" w:ascii="方正仿宋_GBK" w:hAnsi="方正仿宋_GBK" w:eastAsia="方正仿宋_GBK" w:cs="方正仿宋_GBK"/><w:color w:val="000000"/><w:kern w:val="0"/><w:sz w:val="32"/><w:szCs w:val="32"/><w:lang w:val="en-US" w:eastAsia="zh-CN"/></w:rPr></w:pPr><w:r><w:rPr><w:rFonts w:hint="eastAsia" w:ascii="方正仿宋_GBK" w:hAnsi="方正仿宋_GBK" w:eastAsia="方正仿宋_GBK" w:cs="方正仿宋_GBK"/><w:color w:val="000000"/><w:kern w:val="0"/><w:sz w:val="32"/><w:szCs w:val="32"/><w:lang w:val="en-US" w:eastAsia="zh-CN"/></w:rPr><w:t xml:space="preserve"/></w:r></w:p><w:sectPr><w:headerReference r:id="rId3" w:type="default"/><w:pgSz w:w="11906" w:h="16838"/><w:pgMar w:top="2098" w:right="1474" w:bottom="1985" w:left="1588" w:header="851" w:footer="992" w:gutter="0"/><w:cols w:space="720" w:num="1"/><w:docGrid w:type="lines" w:linePitch="312" w:charSpace="0"/></w:sectPr></w:p></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