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DA9776">
      <w:pPr>
        <w:widowControl/>
        <w:tabs>
          <w:tab w:val="center" w:pos="4153"/>
          <w:tab w:val="left" w:pos="7155"/>
        </w:tabs>
        <w:jc w:val="center"/>
        <w:rPr>
          <w:rFonts w:hint="default" w:ascii="方正行楷_GBK" w:hAnsi="宋体" w:eastAsia="方正行楷_GBK" w:cs="宋体"/>
          <w:color w:val="FF0000"/>
          <w:kern w:val="0"/>
          <w:sz w:val="280"/>
          <w:szCs w:val="280"/>
          <w:lang w:val="en-US" w:eastAsia="zh-CN"/>
        </w:rPr>
      </w:pPr>
      <w:r>
        <w:rPr>
          <w:rFonts w:hint="eastAsia" w:ascii="方正小标宋简体" w:hAnsi="方正小标宋简体" w:eastAsia="方正小标宋简体" w:cs="方正小标宋简体"/>
          <w:color w:val="FF0000"/>
          <w:kern w:val="0"/>
          <w:sz w:val="88"/>
          <w:szCs w:val="88"/>
          <w:lang w:val="en-US" w:eastAsia="zh-CN"/>
        </w:rPr>
        <w:t>国际国内疾控信息动态</w:t>
      </w:r>
    </w:p>
    <w:p w14:paraId="5E9CD17F">
      <w:pPr>
        <w:widowControl/>
        <w:tabs>
          <w:tab w:val="center" w:pos="4153"/>
          <w:tab w:val="left" w:pos="9000"/>
        </w:tabs>
        <w:ind w:left="-178" w:leftChars="-85" w:firstLine="179" w:firstLineChars="56"/>
        <w:jc w:val="center"/>
        <w:rPr>
          <w:rFonts w:hint="eastAsia" w:ascii="方正楷体_GBK" w:hAnsi="方正楷体_GBK" w:eastAsia="方正楷体_GBK" w:cs="方正楷体_GBK"/>
          <w:color w:val="000000"/>
          <w:kern w:val="0"/>
          <w:sz w:val="32"/>
          <w:szCs w:val="32"/>
        </w:rPr>
      </w:pPr>
      <w:r>
        <w:rPr>
          <w:rFonts w:hint="eastAsia" w:ascii="方正楷体_GBK" w:hAnsi="方正楷体_GBK" w:eastAsia="方正楷体_GBK" w:cs="方正楷体_GBK"/>
          <w:color w:val="000000"/>
          <w:kern w:val="0"/>
          <w:sz w:val="32"/>
          <w:szCs w:val="32"/>
        </w:rPr>
        <w:t>（</w:t>
      </w:r>
      <w:r>
        <w:rPr>
          <w:rFonts w:hint="default" w:ascii="Times New Roman" w:hAnsi="Times New Roman" w:eastAsia="方正楷体_GBK" w:cs="Times New Roman"/>
          <w:color w:val="000000"/>
          <w:kern w:val="0"/>
          <w:sz w:val="32"/>
          <w:szCs w:val="32"/>
          <w:lang w:val="en-US" w:eastAsia="zh-CN"/>
        </w:rPr>
        <w:t xml:space="preserve">2024</w:t>
      </w:r>
      <w:r>
        <w:rPr>
          <w:rFonts w:hint="eastAsia" w:ascii="方正楷体_GBK" w:hAnsi="方正楷体_GBK" w:eastAsia="方正楷体_GBK" w:cs="方正楷体_GBK"/>
          <w:color w:val="000000"/>
          <w:kern w:val="0"/>
          <w:sz w:val="32"/>
          <w:szCs w:val="32"/>
          <w:lang w:val="en-US" w:eastAsia="zh-CN"/>
        </w:rPr>
        <w:t xml:space="preserve">年 </w:t>
      </w:r>
      <w:r>
        <w:rPr>
          <w:rFonts w:hint="eastAsia" w:ascii="方正楷体_GBK" w:hAnsi="方正楷体_GBK" w:eastAsia="方正楷体_GBK" w:cs="方正楷体_GBK"/>
          <w:color w:val="000000"/>
          <w:kern w:val="0"/>
          <w:sz w:val="32"/>
          <w:szCs w:val="32"/>
        </w:rPr>
        <w:t>第</w:t>
      </w:r>
      <w:bookmarkStart w:id="0" w:name="_GoBack"/>
      <w:r>
        <w:rPr>
          <w:rFonts w:hint="eastAsia" w:ascii="方正楷体_GBK" w:hAnsi="方正楷体_GBK" w:eastAsia="方正楷体_GBK" w:cs="方正楷体_GBK"/>
          <w:color w:val="000000"/>
          <w:kern w:val="0"/>
          <w:sz w:val="32"/>
          <w:szCs w:val="32"/>
          <w:lang w:val="en-US" w:eastAsia="zh-CN"/>
        </w:rPr>
        <w:t xml:space="preserve">四十八</w:t>
      </w:r>
      <w:bookmarkEnd w:id="0"/>
      <w:r>
        <w:rPr>
          <w:rFonts w:hint="eastAsia" w:ascii="方正楷体_GBK" w:hAnsi="方正楷体_GBK" w:eastAsia="方正楷体_GBK" w:cs="方正楷体_GBK"/>
          <w:color w:val="000000"/>
          <w:kern w:val="0"/>
          <w:sz w:val="32"/>
          <w:szCs w:val="32"/>
        </w:rPr>
        <w:t>期）</w:t>
      </w:r>
    </w:p>
    <w:p w14:paraId="006FA456">
      <w:pPr>
        <w:widowControl/>
        <w:ind w:firstLine="160" w:firstLineChars="50"/>
        <w:jc w:val="left"/>
        <w:rPr>
          <w:rFonts w:eastAsia="仿宋_GB2312"/>
          <w:color w:val="000000"/>
          <w:kern w:val="0"/>
          <w:sz w:val="32"/>
          <w:szCs w:val="32"/>
        </w:rPr>
      </w:pPr>
    </w:p>
    <w:tbl>
      <w:tblPr>
        <w:tblStyle w:val="6"/>
        <w:tblW w:w="0" w:type="auto"/>
        <w:tblInd w:w="68"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069"/>
        <w:gridCol w:w="4744"/>
      </w:tblGrid>
      <w:tr w14:paraId="62C0E7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exact"/>
        </w:trPr>
        <w:tc>
          <w:tcPr>
            <w:tcW w:w="4069" w:type="dxa"/>
            <w:noWrap w:val="0"/>
            <w:vAlign w:val="center"/>
          </w:tcPr>
          <w:p w14:paraId="0BA43F13">
            <w:pPr>
              <w:keepNext w:val="0"/>
              <w:keepLines w:val="0"/>
              <w:pageBreakBefore w:val="0"/>
              <w:widowControl/>
              <w:kinsoku/>
              <w:wordWrap/>
              <w:overflowPunct/>
              <w:topLinePunct w:val="0"/>
              <w:autoSpaceDE/>
              <w:autoSpaceDN/>
              <w:bidi w:val="0"/>
              <w:adjustRightInd w:val="0"/>
              <w:snapToGrid/>
              <w:spacing w:line="240" w:lineRule="auto"/>
              <w:ind w:left="210" w:leftChars="100" w:right="0" w:rightChars="0"/>
              <w:jc w:val="center"/>
              <w:textAlignment w:val="auto"/>
              <w:outlineLvl w:val="0"/>
              <w:rPr>
                <w:rFonts w:eastAsia="方正仿宋_GBK"/>
                <w:color w:val="000000"/>
                <w:kern w:val="0"/>
                <w:sz w:val="32"/>
                <w:szCs w:val="32"/>
                <w:vertAlign w:val="baseline"/>
              </w:rPr>
            </w:pPr>
            <w:r>
              <w:rPr>
                <w:rFonts w:eastAsia="方正仿宋_GBK"/>
                <w:color w:val="000000"/>
                <w:kern w:val="0"/>
                <w:sz w:val="32"/>
                <w:szCs w:val="32"/>
              </w:rPr>
              <w:t>金堂县疾病预防控制中心</w:t>
            </w:r>
          </w:p>
        </w:tc>
        <w:tc>
          <w:tcPr>
            <w:tcW w:w="4744" w:type="dxa"/>
            <w:noWrap w:val="0"/>
            <w:vAlign w:val="center"/>
          </w:tcPr>
          <w:p w14:paraId="49E907EE">
            <w:pPr>
              <w:keepNext w:val="0"/>
              <w:keepLines w:val="0"/>
              <w:pageBreakBefore w:val="0"/>
              <w:widowControl/>
              <w:kinsoku/>
              <w:wordWrap/>
              <w:overflowPunct/>
              <w:topLinePunct w:val="0"/>
              <w:autoSpaceDE/>
              <w:autoSpaceDN/>
              <w:bidi w:val="0"/>
              <w:adjustRightInd w:val="0"/>
              <w:snapToGrid/>
              <w:spacing w:line="240" w:lineRule="auto"/>
              <w:ind w:right="210" w:rightChars="100"/>
              <w:jc w:val="right"/>
              <w:textAlignment w:val="auto"/>
              <w:outlineLvl w:val="0"/>
              <w:rPr>
                <w:rFonts w:hint="default" w:eastAsia="方正仿宋_GBK"/>
                <w:color w:val="000000"/>
                <w:kern w:val="0"/>
                <w:sz w:val="32"/>
                <w:szCs w:val="32"/>
                <w:vertAlign w:val="baseline"/>
                <w:lang w:val="en-US" w:eastAsia="zh-CN"/>
              </w:rPr>
            </w:pPr>
            <w:r>
              <w:rPr>
                <w:rFonts w:hint="eastAsia" w:eastAsia="方正仿宋_GBK"/>
                <w:color w:val="000000"/>
                <w:kern w:val="0"/>
                <w:sz w:val="32"/>
                <w:szCs w:val="32"/>
                <w:lang w:val="en-US" w:eastAsia="zh-CN"/>
              </w:rPr>
              <w:t xml:space="preserve">二〇二四年十二月二日</w:t>
            </w:r>
          </w:p>
        </w:tc>
      </w:tr>
    </w:tbl>
    <w:p w14:paraId="31BD9088">
      <w:pPr>
        <w:keepNext w:val="0"/>
        <w:keepLines w:val="0"/>
        <w:pageBreakBefore w:val="0"/>
        <w:widowControl w:val="0"/>
        <w:kinsoku/>
        <w:wordWrap/>
        <w:overflowPunct/>
        <w:topLinePunct w:val="0"/>
        <w:autoSpaceDE/>
        <w:autoSpaceDN/>
        <w:bidi w:val="0"/>
        <w:adjustRightInd/>
        <w:snapToGrid/>
        <w:spacing w:line="360" w:lineRule="exact"/>
        <w:jc w:val="left"/>
        <w:textAlignment w:val="auto"/>
        <w:rPr>
          <w:rFonts w:eastAsia="仿宋_GB2312"/>
          <w:b w:val="0"/>
          <w:bCs/>
          <w:color w:val="000000"/>
          <w:kern w:val="0"/>
          <w:sz w:val="32"/>
          <w:szCs w:val="32"/>
        </w:rPr>
      </w:pPr>
      <w:r>
        <w:rPr>
          <w:rFonts w:eastAsia="仿宋_GB2312"/>
          <w:b w:val="0"/>
          <w:bCs/>
          <w:color w:val="000000"/>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-36195</wp:posOffset>
                </wp:positionH>
                <wp:positionV relativeFrom="paragraph">
                  <wp:posOffset>38100</wp:posOffset>
                </wp:positionV>
                <wp:extent cx="5615940" cy="0"/>
                <wp:effectExtent l="0" t="9525" r="3810" b="9525"/>
                <wp:wrapNone/>
                <wp:docPr id="1001" name="Line 6"/>
                <wp:cNvGraphicFramePr/>
                <a:graphic xmlns:a="http://schemas.openxmlformats.org/drawingml/2006/main">
                  <a:graphicData uri="http://schemas.microsoft.com/office/word/2010/wordprocessingShape">
                    <wps:wsp>
                      <wps:cNvCnPr/>
                      <wps:spPr>
                        <a:xfrm>
                          <a:off x="0" y="0"/>
                          <a:ext cx="5615940" cy="0"/>
                        </a:xfrm>
                        <a:prstGeom prst="line">
                          <a:avLst/>
                        </a:prstGeom>
                        <a:ln w="19050" cap="flat" cmpd="sng">
                          <a:solidFill>
                            <a:srgbClr val="FF0000"/>
                          </a:solidFill>
                          <a:prstDash val="solid"/>
                          <a:headEnd type="none" w="med" len="med"/>
                          <a:tailEnd type="none" w="med" len="med"/>
                        </a:ln>
                      </wps:spPr>
                      <wps:bodyPr upright="1"/>
                    </wps:wsp>
                  </a:graphicData>
                </a:graphic>
              </wp:anchor>
            </w:drawing>
          </mc:Choice>
          <mc:Fallback>
            <w:pict>
              <v:line id="Line 6" o:spid="_x0000_s1026" o:spt="20" style="position:absolute;left:0pt;margin-left:-2.85pt;margin-top:3pt;height:0pt;width:442.2pt;z-index:251659264;mso-width-relative:page;mso-height-relative:page;" filled="f" stroked="t" coordsize="21600,21600" o:gfxdata="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Q3xqq9QAAAAGAQAADwAAAAAA&#10;AAABACAAAAAiAAAAZHJzL2Rvd25yZXYueG1sUEsBAhQAFAAAAAgAh07iQJwMIwbeAQAA2gMAAA4A&#10;AAAAAAAAAQAgAAAAIwEAAGRycy9lMm9Eb2MueG1sUEsFBgAAAAAGAAYAWQEAAHMFAAAAAA==&#10;">
                <v:fill on="f" focussize="0,0"/>
                <v:stroke weight="1.5pt" color="#FF0000" joinstyle="round"/>
                <v:imagedata o:title=""/>
                <o:lock v:ext="edit" aspectratio="f"/>
              </v:line>
            </w:pict>
          </mc:Fallback>
        </mc:AlternateContent>
      </w:r>
    </w:p>
    <w:p w14:paraId="42C87572">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一、全球疫情通报</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海地：2024年11月3日至11月9日，海地报告新增40例霍乱疑似病例。2022年10月2日至2024年11月9日，该国累计报告87717例霍乱疑似病例，其中4861例确诊，1323例死亡。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法国：2024年10月1日至10月31日，法国报告新增29例猴痘确诊病例。2022年1月1日至2024年10月31日，该国累计报告4363例猴痘确诊病例。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德国：2024年10月1日至10月31日，德国报告新增48例猴痘确诊病例。2022年1月1日至2024年10月31日，该国累计报告3980例猴痘确诊病例。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泰国：2024年第46周（11月11日至11月17日），泰国报告新增1256例登革热病例，其中2例死亡。2024年1月1日至11月17日，该国累计报告97203例登革热病例，其中81例死亡。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马来西亚：2024年11月28日，马来西亚报告新增191例登革热病例。2024年1月1日至11月28日，该国累计报告115119例登革热病例，其中88例死亡。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巴基斯坦：2024年11月20日至11月26日，巴基斯坦报告新增6例I型野生脊灰病毒（WPV1）病例。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拉沙热疫情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利比里亚：2022年1月6日至2024年11月14日，利比里亚累计报告533例拉沙热病例，其中176例确诊，确诊病例中55例死亡。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索马里：2024年11月16日至11月25日，索马里报告新增152例麻疹病例，其中15例确诊。2024年1月1日至11月25日，该国累计报告11129例麻疹病例，其中719例确诊，34例死亡。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赞比亚：2024年10月19日至11月25日，赞比亚报告新增134例麻疹病例，其中23例确诊。2024年1月1日至11月25日，该国累计报告4770例麻疹病例，其中226例确诊。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英国：2024年第47周（11月18日至11月24日），英国报告新增159例猩红热病例。2024年1月1日至11月24日，该国累计报告20043例猩红热病例。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澳大利亚：2024年10月28日至11月10日，澳大利亚报告新增399例沙门氏菌感染病例。2024年1月1日至11月10日，该国累计报告10533例沙门氏菌感染病例。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疟疾疫情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巴拿马：2024年11月10日至11月16日，巴拿马报告新增110例疟疾病例。2024年1月1日至11月16日，该国累计报告13126例疟疾病例。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利什曼病疫情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斯里兰卡：2024年第38周（9月14日至9月20日），斯里兰卡报告新增32例利什曼病病例。2024年1月1日至9月20日，该国累计报告2865例利什曼病病例。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弯曲杆菌病疫情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美国：2024年第46周（11月10日至11月16日），美国报告新增765例弯曲杆菌病病例，2024年累计报告72757例。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美国：2024年第46周（11月10日至11月16日），美国报告新增434例百日咳病例，2024年累计报告25216例。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球孢子菌病疫情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美国：2024年第46周（11月10日至11月16日），美国报告新增405例球孢子菌病病例，2024年累计报告22248例。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（来源：http://chinacustoms-strc.cn/hkzx/zhzx/yqzx/2024120214404549873/index.html）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尼日利亚：2024年10月1日至10月27日，尼日利亚报告新增3179例霍乱病例，其中87例死亡。2024年1月1日至10月27日，该国累计报告17139例霍乱病例，其中603例死亡。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莫桑比克：2024年1月1日至10月27日，莫桑比克累计报告8132例霍乱病例，其中18例死亡。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黄热病疫情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刚果共和国：2024年11月2日至11月25日，刚果共和国报告新增17例黄热病病例，其中3例确诊。2024年1月1日至11月25日，该国累计报告436例黄热病病例，其中16例确诊。</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哥伦比亚：2024年10月1日至10月31日，哥伦比亚报告新增7例猴痘确诊病例。2022年1月1日至2024年10月31日，该国累计报告4279例猴痘确诊病例。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阿根廷：2024年10月1日至10月31日，阿根廷报告新增15例猴痘确诊病例。2022年1月1日至2024年10月31日，该国累计报告1236例猴痘确诊病例，其中2例死亡。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孟加拉国：2024年第47周（11月18日至11月24日），孟加拉国报告新增6807例登革热病例，其中44例死亡。2024年1月1日至11月24日，该国累计报告86791例登革热病例，其中441例死亡。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斯里兰卡：2024年第46周（11月11日至11月17日），斯里兰卡报告新增701例登革热病例。2024年1月1日至11月17日，该国累计报告44003例登革热病例。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西尼罗热疫情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西班牙：2024年1月1日至11月6日，西班牙累计报告131例西尼罗热病例。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匈牙利：2024年1月1日至11月6日，匈牙利累计报告111例西尼罗热病例。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裂谷热疫情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塞内加尔：2024年11月4日，塞内加尔Pikine省报告1例裂谷热确诊病例。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英国：2024年第46周（11月11日至11月17日），英国报告新增30例麻疹病例。2024年1月1日至11月17日，该国累计报告8370例麻疹病例。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澳大利亚：2024年10月28日至11月10日，澳大利亚报告新增3969例百日咳病例。2024年1月1日至11月10日，该国累计报告42958例百日咳病例。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日本：2024年第46周（11月11日至11月17日），日本报告新增33例结核病病例，2024年累计报告14107例。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肠出血性大肠杆菌感染疫情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日本：2024年第46周（11月11日至11月17日），日本报告新增89例肠出血性大肠杆菌感染病例，2024年累计报告3464例。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戊型肝炎疫情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日本：2024年第46周（11月11日至11月17日），日本报告新增10例戊型肝炎病例，2024年累计报告464例。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（来源：http://chinacustoms-strc.cn/hkzx/zhzx/yqzx/2024112914312487926/index.html）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尼日尔：2024年10月1日至10月27日，尼日尔报告新增322例霍乱病例，其中4例死亡。2024年1月1日至10月27日，该国累计报告1027例霍乱病例，其中21例死亡。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马拉维：2024年10月1日至10月27日，马拉维报告新增21例霍乱病例，其中2例死亡。2024年1月1日至10月27日，该国累计报告324例霍乱病例，其中4例死亡。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巴西：2024年10月1日至10月31日，巴西报告新增207例猴痘确诊病例。2024年1月1日至10月31日，该国累计报告12968例猴痘确诊病例，其中16例死亡。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加拿大：2024年11月22日，加拿大报告该国首例输入性猴痘分支Ib病毒变异株感染病例，该病例具有非洲旅行史。</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巴西：2024年11月3日至11月9日，巴西报告新增37306例登革热疑似病例。2024年1月1日至11月9日，该国累计报告9898949例登革热疑似病例，其中5695641例确诊，5792例死亡。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秘鲁：2024年10月27日至11月9日，秘鲁报告新增2917例登革热疑似病例。2024年1月1日至11月9日，该国累计报告272355例登革热疑似病例，其中253100例确诊，252例死亡。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东帝汶：2024年1月1日至11月8日，东帝汶累计报告195例基孔肯雅热病例。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马来西亚：2024年1月1日至11月8日，马来西亚累计报告80例基孔肯雅热病例。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马拉维：2024年11月9日至11月18日，马拉维报告新增78例麻疹病例，其中27例确诊。2024年1月1日至11月18日，该国累计报告536例麻疹病例，其中283例确诊，1例死亡。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结核病疫情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英国：2024年第46周（11月11日至11月17日），英国报告新增98例结核病病例。2024年1月1日至11月17日，该国累计报告5110例结核病病例。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澳大利亚：2024年10月28日至11月10日，澳大利亚报告新增2794例流感确诊病例。2024年1月1日至11月10日，该国累计报告354762例流感确诊病例。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呼吸道合胞病毒感染疫情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澳大利亚：2024年10月28日至11月10日，澳大利亚报告新增2147例呼吸道合胞病毒感染病例。2024年1月1日至11月10日，该国累计报告166416例呼吸道合胞病毒感染病例。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斯里兰卡：2024年第38周（9月14日至9月20日），斯里兰卡报告新增116例水痘病例。2024年1月1日至9月20日，该国累计报告6057例水痘病例。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沙门氏菌感染疫情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新加坡：2024年第46周（11月10日至11月16日），新加坡报告新增35例沙门氏菌感染病例，2024年累计报告1280例。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新加坡：2024年第46周（11月10日至11月16日），新加坡报告新增3例流行性腮腺炎病例，2024年累计报告216例。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新加坡：2024年第46周（11月10日至11月16日），新加坡报告新增5例百日咳病例，2024年累计报告94例。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（来源：http://chinacustoms-strc.cn/hkzx/zhzx/yqzx/2024112914312544892/index.html）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也门：2024年1月1日至10月27日，也门累计报告36404例霍乱病例，其中159例死亡。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尼泊尔：2024年1月1日至10月27日，尼泊尔累计报告95例霍乱病例。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中非共和国：2024年10月7日至11月17日，中非共和国报告新增22例猴痘确诊病例，其中1例死亡。2024年1月1日至11月17日，该国累计报告79例猴痘确诊病例，其中2例死亡。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利比里亚：2024年10月7日至11月17日，利比里亚报告新增28例猴痘确诊病例。2024年1月1日至11月17日，该国累计报告42例猴痘确诊病例。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墨西哥：2024年1月1日至11月9日，墨西哥累计报告482614例登革热疑似病例，其中105245例确诊，262例死亡。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危地马拉：2024年1月1日至11月9日，危地马拉累计报告171210例登革热疑似病例，其中5570例确诊，176例死亡。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泰国：2024年1月1日至11月8日，泰国累计报告584例基孔肯雅热病例。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马尔代夫：2024年1月1日至11月8日，马尔代夫累计报告389例基孔肯雅热病例。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塞内加尔：2024年11月2日至11月18日，塞内加尔报告新增5例麻疹确诊病例。2024年1月1日至11月18日，该国累计报告433例麻疹确诊病例。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英国：2024年第46周（11月11日至11月17日），英国报告新增43例流行性腮腺炎病例。2024年1月1日至11月17日，该国累计报告4319例流行性腮腺炎病例。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美国：2024年第45周（11月3日至11月9日），美国报告新增947例流感确诊病例。2024年9月29日至11月9日，该国累计报告3908例流感确诊病例，包括3524例甲型流感病例，384例乙型流感病例。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人感染高致病性禽流感疫情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美国：2024年1月1日至11月15日，美国累计报告52例人感染甲型H5N1禽流感病例，病例主要分布在加利福尼亚州（26例）、华盛顿州（11例）和科罗拉多州（10例）。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军团菌病疫情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中国香港：2024年11月17日至11月23日，中国香港报告新增4例军团菌病病例。2024年1月1日至11月23日，中国香港累计报告115例军团菌病病例。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韩国：2024年第46周（11月10日至11月16日），韩国报告新增2090例百日咳病例，2024年累计报告34784例。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猩红热疫情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韩国：2024年第46周（11月10日至11月16日），韩国报告新增136例猩红热病例，2024年累计报告5287例。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恙虫病疫情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韩国：2024年第46周（11月10日至11月16日），韩国报告新增502例恙虫病病例，2024年累计报告3400例。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（来源：http://chinacustoms-strc.cn/hkzx/zhzx/yqzx/2024112914312539750/index.html）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霍乱疫情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赞比亚：2024年1月1日至10月27日，赞比亚累计报告20219例霍乱病例，其中637例死亡。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津巴布韦：2024年1月1日至10月27日，津巴布韦累计报告20033例霍乱病例，其中399例死亡。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猴痘疫情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尼日利亚：2024年10月7日至11月17日，尼日利亚报告新增49例猴痘确诊病例。2024年1月1日至11月17日，该国累计报告143例猴痘确诊病例。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科特迪瓦：2024年10月7日至11月17日，科特迪瓦报告新增18例猴痘确诊病例。2024年1月1日至11月17日，该国累计报告97例猴痘确诊病例，其中1例死亡。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登革热疫情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柬埔寨：2024年1月1日至11月3日，柬埔寨累计报告16327例登革热病例，其中42例死亡。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中国香港：2024年11月15日至11月21日，中国香港报告新增7例输入性登革热病例。2024年1月1日至11月21日，中国香港累计报告150例登革热病例，包括4例本土病例和146例输入性病例。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脊髓灰质炎疫情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巴基斯坦：2024年11月13日至11月19日，巴基斯坦报告新增1例I型野生脊灰病毒（WPV1）病例。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基孔肯雅热疫情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印度：2024年1月1日至11月8日，印度累计报告69544例基孔肯雅热病例。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巴基斯坦：2024年1月1日至11月8日，巴基斯坦累计报告4964例基孔肯雅热病例。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麻疹疫情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布隆迪：2024年11月9日至11月18日，布隆迪报告新增35例麻疹疑似病例。2024年1月1日至11月18日，该国累计报告14919例麻疹疑似病例，其中149例死亡。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白喉疫情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越南：2024年11月23日，越南BaoLam区报告1例白喉确诊病例，该病例已死亡。</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百日咳疫情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英国：2024年第46周（11月11日至11月17日），英国报告新增140例百日咳病例。2024年1月1日至11月17日，该国累计报告28404例百日咳病例。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丙型肝炎疫情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中国台湾：2024年第46周（11月10日至11月16日），中国台湾报告新增9例丙型肝炎病例，2024年累计报告378例。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流行性腮腺炎疫情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中国台湾：2024年第46周（11月10日至11月16日），中国台湾报告新增8例流行性腮腺炎病例，2024年累计报告352例。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阿米巴性痢疾疫情</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中国台湾：2024年第46周（11月10日至11月16日），中国台湾报告新增8例阿米巴性痢疾病例，2024年累计报告290例。</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（来源：http://chinacustoms-strc.cn/hkzx/zhzx/yqzx/2024112614223115240/index.html）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二、国内疾控动态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2024年“世界艾滋病日”特别节目在北京广播电视台播出</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科普防艾硬核知识，讲述十年校园防艾动人瞬间。“社会共治，终结艾滋，共享健康”。2024年“世界艾滋病日”特别节目12月1日在北京广播电视台播出。 标题：2024年“世界艾滋病日”主题宣传活动链接：https://item.btime.com/f55176evsp380481nnu5i2060a3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（来源：https://www.ndcpa.gov.cn/jbkzzx/c100008/common/content/content_1863241242243616768.html）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彭丽媛出席2024年“世界艾滋病日”主题宣传活动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近日，世界卫生组织结核病/艾滋病防治亲善大使彭丽媛在北京科技大学出席2024年“世界艾滋病日”主题宣传活动，并为大学生防艾志愿者代表授旗。国家卫生健康委主任雷海潮，国家卫生健康委副主任、国家疾控局局长沈洪兵，教育部副部长王嘉毅，北京市委常委、宣传部部长孙军民出席活动。12月1日是第37个“世界艾滋病日”，我国的宣传主题是“社会共治，终结艾滋，共享健康”。主题宣传活动回顾展示了近年来全国防艾进展情况和成效，通过课堂、情景剧表演、访谈等形式科普了艾滋病防治知识，介绍了高校防艾志愿活动开展情况。彭丽媛为大学生防艾志愿者代表授旗，号召大家为高校防艾工作贡献青春力量。  主题宣传活动前，彭丽媛等参观了“美好青春我做主”红丝带青春校园行十年历程展示，了解京津冀高校防艾宣传工作成效，同参加校园防艾宣传活动的大学生亲切交流，慰问医务人员、志愿者等，勉励大家继续携手努力，共同参与艾滋病防治工作，传递更多健康向上的防艾正能量，让艾滋病远离校园。 有关国际组织驻华代表、红丝带健康大使、艾滋病防治专家、京津冀高校大学生志愿者代表等参加活动。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（来源：https://www.ndcpa.gov.cn/jbkzzx/c100008/common/content/content_1862766478244827136.html）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国家疾控局举办直属机关专兼职纪检干部培训班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贯彻落实二十届中央纪委三次全会精神，进一步提高局直属机关专兼职纪检干部履职能力，锻造高素质专业化纪检干部队伍，11月11日至15日，国家疾控局在福建举办直属机关专兼职纪检干部培训班。培训班聚焦干部教育培训主题主线，深入学习贯彻习近平新时代中国特色社会主义思想，强化政治训练，围绕学习贯彻党的二十届三中全会精神进行专题辅导，讲授习近平总书记在福建工作期间的探索与实践；突出实践实战，解读《中国共产党纪律检查委员会工作条例》，专门安排谈话技巧与笔录制作、案件办理实务等纪检业务相关课程；加强党性教育，赴谷文昌纪念园、谷文昌廉政主题馆进行现场教学，进一步提升专兼职纪检干部党性修养。局直属机关专职纪检干部，局直属机关纪委委员、纪检委员共40余人参加培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（来源：https://www.ndcpa.gov.cn/jbkzzx/c100008/common/content/content_1861339457786851328.html）</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黑体_GBK" w:cs="方正仿宋_GBK"/>
          <w:b/>
          <w:color w:val="000000"/>
          <w:kern w:val="0"/>
          <w:sz w:val="28"/>
          <w:szCs w:val="32"/>
          <w:lang w:val="en-US" w:eastAsia="zh-CN"/>
        </w:rPr>
        <w:t xml:space="preserve">三、省内疾控动态</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达州市2024年艾滋病防治“网底”能力提升培训班成功举办</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增强全市基层艾滋病防治能力，提升艾滋病、性病和丙肝病例报告、扩大检测、随访干预、档案台账等工作质量，筑牢艾滋病防治“网底”力量，达州市疾病预防控制中心于11月18日—22日分两期成功举办了2024年艾滋病防治“网底”能力提升培训班。各县（市、区）疾控中心业务骨干、二级以上医疗机构及民营医院公卫科工作人员、“网底”卫生院/社区卫生服务中心艾防工作人员共计280余人参加了此次培训。培训开班仪式由市疾控中心艾防科科长谭川主持，市疾控中心党委委员、副主任郭皓出席并讲话。郭皓副主任用“真情、真懂、真干”三个关键词就履行工作职责、提升工作能力、提高工作质量、冲刺工作指标进行了强调。培训会上，来自市、县两级疾控中心，具有丰富一线艾防工作经验的师资团队，围绕艾滋病、性病、丙肝等多病同检、同管、同防中诊断标准与病例报告、监测数据规范填报、艾滋病检测信息系统使用、重点人群随访管理及川渝流动感染者协同管理、与感染者交流沟通技巧等内容进行了全面、详实的讲解。培训结束后对全体培训人员进行了课程学习效果测试，合格率达100%。通过此次极具专业性、针对性和实用性培训，进一步增进了医防融合、医防协同，整体提升了艾滋病防治“网底”能力，夯实了艾滋病、性病、丙肝防治工作高质量发展基础。</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（来源：https://www.sccdc.cn/Article/View?id=35258）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内江市疾控中心举办2024年 聚集性不明原因肺炎疫情应急演练暨卫生应急工作培训班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进一步提升内江市疾控系统应对聚集性不明原因肺炎疫情的能力，持续推进传染病及突发公共卫事件应急能力建设，市疾控中心于2024年11月26日举办2024年内江市疾控系统聚集性不明原因肺炎疫情应急演练暨卫生应急工作培训班，市疾控中心、各县（市、区）疾控中心传染病应急队员共计50余人参训。市疾控中心党委委员、副主任陈建军出席。演练模拟我市某村发生聚集性不明原因肺炎疫情的情景，从疫情的发现、报告、调查、处置到后期的总结评估，进行了全流程桌面推演。通过演练，检验传染病疫情应急预案、防控方案的可行性及应急准备的充分性，提升了参演人员应急响应及传染病疫情的处置能力。培训环节中，市疾控中心详细解读了新修订的《传染病疫情应急演练工作指南(2024版)》，明确了应急演练的组织架构、职责分工、流程安排、评估标准等关键要素，为今后的应急演练工作提供了科学指导和规范依据。本次培训特别邀请省疾控中心传染病现场处置领域专家授课，讲解了传染病疫情调查处置及突发公共卫生事件的信息报告报告流程以及注意事项，强调了信息报告的及时性、准确性和完整性对于疫情防控的重要性。培训班最后回顾了2024年内江市疾控系统在卫生应急工作方面取得的成效和经验、存在问题和不足，提出了下一步加强卫生应急能力建设的具体措施和工作计划。内江市疾控系统将持续加强培训与演练，不断提高疾控人员的业务水平和综合素质，为推动内江市疾控事业高质量发展贡献力量。</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（来源：https://www.sccdc.cn/Article/View?id=35253）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攀枝花市开展聚集性不明原因传染病应急处置演练</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通过本次多科目的队伍集结、装备实操、桌面推演、专题风险评估的撰写、专题风险评估技术培训，检验了攀枝花市、县（区）传染病应急小分队的队伍组建、应急装备的配置到位情况，专业技术储备；提升了突发事件公共卫生专题风险评估技能；达到了以演代练、以练促建、以训提能目的。</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（来源：https://www.sccdc.cn/Article/View?id=35243）</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遂宁市疾控中心健康科普进校园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为预防和遏制艾滋病、性病和丙肝在青少年学生群体中的发生与流行，增强青少年学生识艾防艾暨多病同防能力，11月21日下午，市疾控中心园区科、性艾科和微生物检验科联合高新区社事局、西宁街道卫生服务中心走进遂宁职业学院，开展了以“青春无艾，健康同行”为主题的艾滋病、性病和丙肝防治知识讲座。市疾控中心性艾科副科长祝皓以通俗易懂的语言和身边的典型案例给同学们讲解了艾滋病、性病和丙肝的危害性、流行特点、传播方式、预防措施等，同时还结合禁毒知识讲解了毒品和艾滋病之间的关联，让大家提高警惕，防微杜渐。微生物检验科副科长陈器则以“怀疑自己感染艾滋病，应该怎么办”为切入点，详细介绍了艾滋病检测途径、操作方法、窗口期及结果解读等大家十分关心的问题。专题讲座结束后进行了有奖问答，同学们踊跃发言，积极互动，气氛欢快热烈，进一步强化巩固了知识讲座内容。此次专题讲座共覆盖师生270余人，发放宣传资料和宣传品共计800余份，帮助同学们深入了解和科学认识了艾滋病、性病和丙肝相关内容，同时提升了大家的自我防护意识和多病同防的能力，对青少年学生群体塑造正确的生活观和价值观起到了积极作用。</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（来源：https://www.sccdc.cn/Article/View?id=35238）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440" w:lineRule="exact"/>
        <w:jc w:val="center"/>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b/>
          <w:color w:val="000000"/>
          <w:kern w:val="0"/>
          <w:sz w:val="24"/>
          <w:szCs w:val="32"/>
          <w:lang w:val="en-US" w:eastAsia="zh-CN"/>
        </w:rPr>
        <w:t xml:space="preserve">资阳市疾控中心“声”入基层聚民心，走访调研听心声</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48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000000"/>
          <w:kern w:val="0"/>
          <w:sz w:val="21"/>
          <w:szCs w:val="32"/>
          <w:lang w:val="en-US" w:eastAsia="zh-CN"/>
        </w:rPr>
        <w:t xml:space="preserve">11月21日，市疾控中心党总支副书记、副主任汪丹带队，走进安岳县忠义镇纸马村开展“四个一”调研指导活动。活动现场，汪丹以“进一步全面深化改革、推进中国式现代化的决定”为主题，以“接地气”的方式生动形象地为村民们宣讲了党的二十届三中全会和省委十二届六次全会精神。会后，汪丹详细听取了驻村干部关于纸马村巩固拓展脱贫攻坚成果考核指标完成情况的汇报和工作意见建议，关心了解村民生活近况和驻村干部工作生活情况，现场部署争取工作经费、落实村民健康档案、筹划义诊活动等重点工作任务。汪丹强调，一是工作队要牢记为民使命，强化责任担当，认真履职尽责，扎实做好乡村振兴各项帮扶工作。二是要精准把握国、省、市乡村振兴方针政策精神，贯彻落实工作要求，常态长效发力，切实做到真情实意暖民心、真帮实扶促振兴。三是要结合帮扶村实际，在产业发展、美丽乡村建设上多思考、多谋划，发挥帮扶单位技术指导作用，切实把纸马村建设成为幸福美丽新家园。</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ind w:firstLine="0"/>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Times New Roman" w:hAnsi="Times New Roman" w:eastAsia="方正仿宋_GBK" w:cs="方正仿宋_GBK"/>
          <w:color w:val="808080"/>
          <w:kern w:val="0"/>
          <w:sz w:val="19"/>
          <w:szCs w:val="32"/>
          <w:lang w:val="en-US" w:eastAsia="zh-CN"/>
        </w:rPr>
        <w:t xml:space="preserve">（来源：https://www.sccdc.cn/Article/View?id=35228）</w:t>
      </w:r>
    </w:p>
    <w:p>
      <w:pPr>
        <w:keepNext w:val="0"/>
        <w:keepLines w:val="0"/>
        <w:pageBreakBefore w:val="0"/>
        <w:widowControl/>
        <w:tabs>
          <w:tab w:val="center" w:pos="4153"/>
          <w:tab w:val="left" w:pos="9000"/>
        </w:tabs>
        <w:kinsoku/>
        <w:wordWrap/>
        <w:overflowPunct/>
        <w:topLinePunct w:val="0"/>
        <w:autoSpaceDE/>
        <w:autoSpaceDN/>
        <w:bidi w:val="0"/>
        <w:adjustRightInd/>
        <w:snapToGrid/>
        <w:spacing w:line="360" w:lineRule="exact"/>
        <w:jc w:val="left"/>
        <w:textAlignment w:val="auto"/>
        <w:rPr>
          <w:rFonts w:hint="eastAsia" w:ascii="方正仿宋_GBK" w:hAnsi="方正仿宋_GBK" w:eastAsia="方正仿宋_GBK" w:cs="方正仿宋_GBK"/>
          <w:color w:val="000000"/>
          <w:kern w:val="0"/>
          <w:sz w:val="32"/>
          <w:szCs w:val="32"/>
          <w:lang w:val="en-US" w:eastAsia="zh-CN"/>
        </w:rPr>
      </w:pPr>
      <w:r>
        <w:rPr>
          <w:rFonts w:hint="eastAsia" w:ascii="方正仿宋_GBK" w:hAnsi="方正仿宋_GBK" w:eastAsia="方正仿宋_GBK" w:cs="方正仿宋_GBK"/>
          <w:color w:val="000000"/>
          <w:kern w:val="0"/>
          <w:sz w:val="32"/>
          <w:szCs w:val="32"/>
          <w:lang w:val="en-US" w:eastAsia="zh-CN"/>
        </w:rPr>
        <w:t xml:space="preserve"/>
      </w:r>
    </w:p>
    <w:sectPr>
      <w:headerReference r:id="rId3" w:type="default"/>
      <w:pgSz w:w="11906" w:h="16838"/>
      <w:pgMar w:top="2098" w:right="1474" w:bottom="1985" w:left="158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_GB2312">
    <w:panose1 w:val="02010609030101010101"/>
    <w:charset w:val="86"/>
    <w:family w:val="modern"/>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Batang">
    <w:altName w:val="Malgun Gothic"/>
    <w:panose1 w:val="02030600000101010101"/>
    <w:charset w:val="81"/>
    <w:family w:val="roman"/>
    <w:pitch w:val="default"/>
    <w:sig w:usb0="00000000" w:usb1="00000000" w:usb2="00000030" w:usb3="00000000" w:csb0="4008009F" w:csb1="DFD70000"/>
  </w:font>
  <w:font w:name="方正行楷_GBK">
    <w:altName w:val="楷体_GB2312"/>
    <w:panose1 w:val="03000509000000000000"/>
    <w:charset w:val="86"/>
    <w:family w:val="script"/>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仿宋_GBK">
    <w:panose1 w:val="02000000000000000000"/>
    <w:charset w:val="86"/>
    <w:family w:val="script"/>
    <w:pitch w:val="default"/>
    <w:sig w:usb0="A00002BF" w:usb1="38CF7CFA" w:usb2="00082016" w:usb3="00000000" w:csb0="00040001" w:csb1="00000000"/>
  </w:font>
  <w:font w:name="方正楷体_GBK">
    <w:panose1 w:val="02000000000000000000"/>
    <w:charset w:val="86"/>
    <w:family w:val="auto"/>
    <w:pitch w:val="default"/>
    <w:sig w:usb0="A00002BF" w:usb1="38CF7CFA" w:usb2="00082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1A8F72">
    <w:pPr>
      <w:pStyle w:val="3"/>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2MDA4YTJiMWY2NWVkNmYxZDdkMjAwMDY0ZTMyM2IifQ=="/>
  </w:docVars>
  <w:rsids>
    <w:rsidRoot w:val="009B17AC"/>
    <w:rsid w:val="00020845"/>
    <w:rsid w:val="0003131C"/>
    <w:rsid w:val="00040467"/>
    <w:rsid w:val="0006644A"/>
    <w:rsid w:val="00091111"/>
    <w:rsid w:val="00092CE5"/>
    <w:rsid w:val="000A20BF"/>
    <w:rsid w:val="000A3CAC"/>
    <w:rsid w:val="000C3262"/>
    <w:rsid w:val="000F6A15"/>
    <w:rsid w:val="0010293C"/>
    <w:rsid w:val="001037A6"/>
    <w:rsid w:val="0011630C"/>
    <w:rsid w:val="00164FD5"/>
    <w:rsid w:val="001673A5"/>
    <w:rsid w:val="001742CC"/>
    <w:rsid w:val="00183D80"/>
    <w:rsid w:val="00185647"/>
    <w:rsid w:val="001A2E5E"/>
    <w:rsid w:val="001D580F"/>
    <w:rsid w:val="001E3F72"/>
    <w:rsid w:val="002025F0"/>
    <w:rsid w:val="00214C49"/>
    <w:rsid w:val="00216C84"/>
    <w:rsid w:val="00240798"/>
    <w:rsid w:val="002770FE"/>
    <w:rsid w:val="002945BE"/>
    <w:rsid w:val="002A4A0D"/>
    <w:rsid w:val="002B31C4"/>
    <w:rsid w:val="002E67E1"/>
    <w:rsid w:val="003011E4"/>
    <w:rsid w:val="00303C63"/>
    <w:rsid w:val="00326605"/>
    <w:rsid w:val="0033417D"/>
    <w:rsid w:val="00344887"/>
    <w:rsid w:val="00371938"/>
    <w:rsid w:val="00375E07"/>
    <w:rsid w:val="00380924"/>
    <w:rsid w:val="0039057B"/>
    <w:rsid w:val="003A6E97"/>
    <w:rsid w:val="003B4EB7"/>
    <w:rsid w:val="003B6F3F"/>
    <w:rsid w:val="003B785D"/>
    <w:rsid w:val="003D621D"/>
    <w:rsid w:val="003F6436"/>
    <w:rsid w:val="00417A50"/>
    <w:rsid w:val="00451147"/>
    <w:rsid w:val="004836EB"/>
    <w:rsid w:val="00491D2C"/>
    <w:rsid w:val="0049254E"/>
    <w:rsid w:val="00511615"/>
    <w:rsid w:val="00514468"/>
    <w:rsid w:val="0052083C"/>
    <w:rsid w:val="005264F5"/>
    <w:rsid w:val="00534A97"/>
    <w:rsid w:val="005405FA"/>
    <w:rsid w:val="0055420E"/>
    <w:rsid w:val="00555F6C"/>
    <w:rsid w:val="00570F51"/>
    <w:rsid w:val="005B141D"/>
    <w:rsid w:val="006013AD"/>
    <w:rsid w:val="00605773"/>
    <w:rsid w:val="006321D9"/>
    <w:rsid w:val="00634FB2"/>
    <w:rsid w:val="00653B67"/>
    <w:rsid w:val="00692B69"/>
    <w:rsid w:val="006A50F5"/>
    <w:rsid w:val="006A53E7"/>
    <w:rsid w:val="006C39D8"/>
    <w:rsid w:val="006C5E93"/>
    <w:rsid w:val="007421CD"/>
    <w:rsid w:val="00743358"/>
    <w:rsid w:val="00743BA3"/>
    <w:rsid w:val="00744EC2"/>
    <w:rsid w:val="007477CD"/>
    <w:rsid w:val="007478E4"/>
    <w:rsid w:val="0075449E"/>
    <w:rsid w:val="0075519E"/>
    <w:rsid w:val="007631EC"/>
    <w:rsid w:val="00764C58"/>
    <w:rsid w:val="007A4530"/>
    <w:rsid w:val="007A7421"/>
    <w:rsid w:val="007A7A0C"/>
    <w:rsid w:val="007B3DE4"/>
    <w:rsid w:val="007B73C3"/>
    <w:rsid w:val="007C0A30"/>
    <w:rsid w:val="00843B2B"/>
    <w:rsid w:val="00896403"/>
    <w:rsid w:val="00896B9A"/>
    <w:rsid w:val="008B5FEE"/>
    <w:rsid w:val="008B6915"/>
    <w:rsid w:val="008D336C"/>
    <w:rsid w:val="008E243A"/>
    <w:rsid w:val="008E4CDA"/>
    <w:rsid w:val="00904409"/>
    <w:rsid w:val="009342C9"/>
    <w:rsid w:val="00950447"/>
    <w:rsid w:val="009535F8"/>
    <w:rsid w:val="009721CF"/>
    <w:rsid w:val="0097633B"/>
    <w:rsid w:val="009771B6"/>
    <w:rsid w:val="00990BB8"/>
    <w:rsid w:val="00991C37"/>
    <w:rsid w:val="00995D60"/>
    <w:rsid w:val="00997BEA"/>
    <w:rsid w:val="009B17AC"/>
    <w:rsid w:val="009D1DDA"/>
    <w:rsid w:val="009E12C5"/>
    <w:rsid w:val="009F1543"/>
    <w:rsid w:val="009F1858"/>
    <w:rsid w:val="00A143DB"/>
    <w:rsid w:val="00A2327F"/>
    <w:rsid w:val="00A372C5"/>
    <w:rsid w:val="00A63900"/>
    <w:rsid w:val="00A9471E"/>
    <w:rsid w:val="00AB2C63"/>
    <w:rsid w:val="00AD5B42"/>
    <w:rsid w:val="00AE42F5"/>
    <w:rsid w:val="00B371F3"/>
    <w:rsid w:val="00B40169"/>
    <w:rsid w:val="00B42B8D"/>
    <w:rsid w:val="00B45356"/>
    <w:rsid w:val="00B45741"/>
    <w:rsid w:val="00B9333D"/>
    <w:rsid w:val="00BD6E6A"/>
    <w:rsid w:val="00BD7BB4"/>
    <w:rsid w:val="00BF14A5"/>
    <w:rsid w:val="00C160D8"/>
    <w:rsid w:val="00C22C28"/>
    <w:rsid w:val="00C2689F"/>
    <w:rsid w:val="00C31B72"/>
    <w:rsid w:val="00C35FC1"/>
    <w:rsid w:val="00C40B07"/>
    <w:rsid w:val="00C72A14"/>
    <w:rsid w:val="00CA3E2F"/>
    <w:rsid w:val="00CC4FCF"/>
    <w:rsid w:val="00D05DE9"/>
    <w:rsid w:val="00D25E37"/>
    <w:rsid w:val="00D27EF3"/>
    <w:rsid w:val="00D3376C"/>
    <w:rsid w:val="00D65AF9"/>
    <w:rsid w:val="00D85953"/>
    <w:rsid w:val="00D87893"/>
    <w:rsid w:val="00D92824"/>
    <w:rsid w:val="00DA2859"/>
    <w:rsid w:val="00DB4213"/>
    <w:rsid w:val="00DB6E9B"/>
    <w:rsid w:val="00DC5C3C"/>
    <w:rsid w:val="00DF12D0"/>
    <w:rsid w:val="00DF7C09"/>
    <w:rsid w:val="00DF7E78"/>
    <w:rsid w:val="00E53F98"/>
    <w:rsid w:val="00E65D8D"/>
    <w:rsid w:val="00E71073"/>
    <w:rsid w:val="00E97542"/>
    <w:rsid w:val="00EC1E8B"/>
    <w:rsid w:val="00ED2B0B"/>
    <w:rsid w:val="00EF618B"/>
    <w:rsid w:val="00F131B7"/>
    <w:rsid w:val="00F43AD2"/>
    <w:rsid w:val="00F64966"/>
    <w:rsid w:val="00F91B9F"/>
    <w:rsid w:val="00F927F2"/>
    <w:rsid w:val="00FB572C"/>
    <w:rsid w:val="00FB723A"/>
    <w:rsid w:val="00FD2059"/>
    <w:rsid w:val="00FD65A6"/>
    <w:rsid w:val="00FF11E3"/>
    <w:rsid w:val="00FF6299"/>
    <w:rsid w:val="01ED2398"/>
    <w:rsid w:val="02335DA9"/>
    <w:rsid w:val="02D260E9"/>
    <w:rsid w:val="03E91DDD"/>
    <w:rsid w:val="051A3C2B"/>
    <w:rsid w:val="05556D4A"/>
    <w:rsid w:val="05D13765"/>
    <w:rsid w:val="06C729EE"/>
    <w:rsid w:val="0A4F7D57"/>
    <w:rsid w:val="0A960751"/>
    <w:rsid w:val="0CC325AC"/>
    <w:rsid w:val="0D717680"/>
    <w:rsid w:val="0D8A4002"/>
    <w:rsid w:val="0F6824F9"/>
    <w:rsid w:val="10982C07"/>
    <w:rsid w:val="120D2245"/>
    <w:rsid w:val="126070B3"/>
    <w:rsid w:val="13595D39"/>
    <w:rsid w:val="163041BC"/>
    <w:rsid w:val="174A611D"/>
    <w:rsid w:val="1BF32856"/>
    <w:rsid w:val="1D403E5C"/>
    <w:rsid w:val="1D5E53C1"/>
    <w:rsid w:val="1D961411"/>
    <w:rsid w:val="1EF65C58"/>
    <w:rsid w:val="1FBC4BE0"/>
    <w:rsid w:val="21C46094"/>
    <w:rsid w:val="21EE3E25"/>
    <w:rsid w:val="230B7F6D"/>
    <w:rsid w:val="239439E8"/>
    <w:rsid w:val="245F42F8"/>
    <w:rsid w:val="253A2935"/>
    <w:rsid w:val="25CF3FFB"/>
    <w:rsid w:val="26FC0CDE"/>
    <w:rsid w:val="27CA7EB2"/>
    <w:rsid w:val="2BAB4636"/>
    <w:rsid w:val="2CD14B50"/>
    <w:rsid w:val="30DB016B"/>
    <w:rsid w:val="32CF18BB"/>
    <w:rsid w:val="33F544A4"/>
    <w:rsid w:val="33F90B74"/>
    <w:rsid w:val="34134071"/>
    <w:rsid w:val="349C467A"/>
    <w:rsid w:val="34AB6320"/>
    <w:rsid w:val="36520E8C"/>
    <w:rsid w:val="365315CA"/>
    <w:rsid w:val="3C5B6995"/>
    <w:rsid w:val="3C6E5AD0"/>
    <w:rsid w:val="3C987739"/>
    <w:rsid w:val="3EA20A1E"/>
    <w:rsid w:val="3EE40EAC"/>
    <w:rsid w:val="4065731C"/>
    <w:rsid w:val="41777715"/>
    <w:rsid w:val="41D50012"/>
    <w:rsid w:val="4231349C"/>
    <w:rsid w:val="44653066"/>
    <w:rsid w:val="44E21790"/>
    <w:rsid w:val="467B15AE"/>
    <w:rsid w:val="46F3077F"/>
    <w:rsid w:val="48B77E75"/>
    <w:rsid w:val="4C514F5E"/>
    <w:rsid w:val="4CB75B4C"/>
    <w:rsid w:val="4DA426DF"/>
    <w:rsid w:val="4DA94893"/>
    <w:rsid w:val="4F712F19"/>
    <w:rsid w:val="522E60D3"/>
    <w:rsid w:val="53A51561"/>
    <w:rsid w:val="54114857"/>
    <w:rsid w:val="548958B9"/>
    <w:rsid w:val="55326FD3"/>
    <w:rsid w:val="55766CB9"/>
    <w:rsid w:val="55CF4FEA"/>
    <w:rsid w:val="56C028F9"/>
    <w:rsid w:val="574D608A"/>
    <w:rsid w:val="57786173"/>
    <w:rsid w:val="58FB3C03"/>
    <w:rsid w:val="590F3C63"/>
    <w:rsid w:val="595066BA"/>
    <w:rsid w:val="59F23E13"/>
    <w:rsid w:val="5AF116AA"/>
    <w:rsid w:val="5B23382F"/>
    <w:rsid w:val="5B627450"/>
    <w:rsid w:val="5BC70B49"/>
    <w:rsid w:val="5D932F17"/>
    <w:rsid w:val="5E357838"/>
    <w:rsid w:val="5F5E3609"/>
    <w:rsid w:val="5FA016C5"/>
    <w:rsid w:val="61D246A9"/>
    <w:rsid w:val="62A24A2F"/>
    <w:rsid w:val="65785AC3"/>
    <w:rsid w:val="659643EF"/>
    <w:rsid w:val="660723FD"/>
    <w:rsid w:val="66A1193F"/>
    <w:rsid w:val="66BE5ABF"/>
    <w:rsid w:val="67565299"/>
    <w:rsid w:val="677C5A03"/>
    <w:rsid w:val="6A306296"/>
    <w:rsid w:val="6AA73A7C"/>
    <w:rsid w:val="6CA86A45"/>
    <w:rsid w:val="6CDB7401"/>
    <w:rsid w:val="6CF6384D"/>
    <w:rsid w:val="6E893520"/>
    <w:rsid w:val="6EE2103F"/>
    <w:rsid w:val="6F4320F9"/>
    <w:rsid w:val="71064D70"/>
    <w:rsid w:val="715C3BC7"/>
    <w:rsid w:val="721C0576"/>
    <w:rsid w:val="74962A72"/>
    <w:rsid w:val="752D1882"/>
    <w:rsid w:val="7841786C"/>
    <w:rsid w:val="7A716449"/>
    <w:rsid w:val="7AA775D9"/>
    <w:rsid w:val="7BDB3FB4"/>
    <w:rsid w:val="7D5E7E3F"/>
    <w:rsid w:val="7E1D3F2F"/>
    <w:rsid w:val="7EEE13B1"/>
    <w:rsid w:val="7F1C7DE7"/>
    <w:rsid w:val="7F7F3F0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link w:val="10"/>
    <w:qFormat/>
    <w:uiPriority w:val="0"/>
    <w:pPr>
      <w:tabs>
        <w:tab w:val="center" w:pos="4153"/>
        <w:tab w:val="right" w:pos="8306"/>
      </w:tabs>
      <w:snapToGrid w:val="0"/>
      <w:jc w:val="left"/>
    </w:pPr>
    <w:rPr>
      <w:sz w:val="18"/>
      <w:szCs w:val="18"/>
    </w:rPr>
  </w:style>
  <w:style w:type="paragraph" w:styleId="3">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0"/>
    <w:pPr>
      <w:widowControl/>
      <w:spacing w:before="100" w:beforeAutospacing="1" w:after="100" w:afterAutospacing="1"/>
      <w:jc w:val="left"/>
    </w:pPr>
    <w:rPr>
      <w:rFonts w:ascii="宋体" w:hAnsi="宋体" w:cs="宋体"/>
      <w:kern w:val="0"/>
      <w:sz w:val="24"/>
    </w:rPr>
  </w:style>
  <w:style w:type="table" w:styleId="6">
    <w:name w:val="Table Grid"/>
    <w:basedOn w:val="5"/>
    <w:unhideWhenUsed/>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FollowedHyperlink"/>
    <w:basedOn w:val="7"/>
    <w:qFormat/>
    <w:uiPriority w:val="0"/>
    <w:rPr>
      <w:color w:val="000000"/>
      <w:u w:val="none"/>
    </w:rPr>
  </w:style>
  <w:style w:type="character" w:styleId="9">
    <w:name w:val="Hyperlink"/>
    <w:basedOn w:val="7"/>
    <w:qFormat/>
    <w:uiPriority w:val="0"/>
    <w:rPr>
      <w:color w:val="000000"/>
      <w:u w:val="none"/>
    </w:rPr>
  </w:style>
  <w:style w:type="character" w:customStyle="1" w:styleId="10">
    <w:name w:val="页脚 Char"/>
    <w:basedOn w:val="7"/>
    <w:link w:val="2"/>
    <w:qFormat/>
    <w:uiPriority w:val="0"/>
    <w:rPr>
      <w:kern w:val="2"/>
      <w:sz w:val="18"/>
      <w:szCs w:val="18"/>
    </w:rPr>
  </w:style>
  <w:style w:type="character" w:customStyle="1" w:styleId="11">
    <w:name w:val="页眉 Char"/>
    <w:basedOn w:val="7"/>
    <w:link w:val="3"/>
    <w:qFormat/>
    <w:uiPriority w:val="0"/>
    <w:rPr>
      <w:kern w:val="2"/>
      <w:sz w:val="18"/>
      <w:szCs w:val="18"/>
    </w:rPr>
  </w:style>
  <w:style w:type="character" w:customStyle="1" w:styleId="12">
    <w:name w:val="CharAttribute18"/>
    <w:qFormat/>
    <w:uiPriority w:val="0"/>
    <w:rPr>
      <w:rFonts w:ascii="楷体_GB2312" w:eastAsia="楷体_GB2312"/>
      <w:sz w:val="32"/>
    </w:rPr>
  </w:style>
  <w:style w:type="character" w:customStyle="1" w:styleId="13">
    <w:name w:val="CharAttribute14"/>
    <w:qFormat/>
    <w:uiPriority w:val="0"/>
    <w:rPr>
      <w:rFonts w:ascii="仿宋_GB2312" w:eastAsia="仿宋_GB2312"/>
      <w:sz w:val="32"/>
    </w:rPr>
  </w:style>
  <w:style w:type="paragraph" w:customStyle="1" w:styleId="14">
    <w:name w:val="ParaAttribute10"/>
    <w:qFormat/>
    <w:uiPriority w:val="0"/>
    <w:pPr>
      <w:widowControl w:val="0"/>
      <w:spacing w:line="600" w:lineRule="exact"/>
      <w:ind w:firstLine="640"/>
      <w:jc w:val="both"/>
    </w:pPr>
    <w:rPr>
      <w:rFonts w:ascii="Times New Roman" w:hAnsi="Times New Roman" w:eastAsia="Batang" w:cs="Times New Roman"/>
      <w:lang w:val="en-US" w:eastAsia="zh-CN" w:bidi="ar-SA"/>
    </w:rPr>
  </w:style>
  <w:style w:type="paragraph" w:customStyle="1" w:styleId="15">
    <w:name w:val=" Char"/>
    <w:basedOn w:val="1"/>
    <w:next w:val="1"/>
    <w:qFormat/>
    <w:uiPriority w:val="0"/>
    <w:pPr>
      <w:spacing w:line="240" w:lineRule="atLeast"/>
      <w:ind w:left="420" w:firstLine="420"/>
      <w:jc w:val="left"/>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WWW.YlmF.CoM</Company>
  <Pages>1</Pages>
  <Words>581</Words>
  <Characters>645</Characters>
  <Lines>4</Lines>
  <Paragraphs>1</Paragraphs>
  <TotalTime>3</TotalTime>
  <ScaleCrop>false</ScaleCrop>
  <LinksUpToDate>false</LinksUpToDate>
  <CharactersWithSpaces>661</CharactersWithSpaces>
  <Application>WPS Office_12.8.2.18913_F1E327BC-269C-435d-A152-05C5408002CA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2019-11-08T07:11:00Z</dcterms:created>
  <dc:creator>marui</dc:creator>
  <cp:lastModifiedBy>leenkon</cp:lastModifiedBy>
  <cp:lastPrinted>2018-10-16T03:14:00Z</cp:lastPrinted>
  <dcterms:modified xsi:type="dcterms:W3CDTF">2025-07-08T23:03:00Z</dcterms:modified>
  <dc:title>简  报</dc:title>
  <cp:revision>6</cp:revision>
  <dc:description/>
  <dc:identifier/>
  <dc:language/>
  <dc:subject/>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2052-12.8.2.18913</vt:lpwstr>
  </property>
  <property fmtid="{D5CDD505-2E9C-101B-9397-08002B2CF9AE}" pid="3" name="ICV">
    <vt:lpwstr>358A8739705A45AC9A20CC86123653E7_13</vt:lpwstr>
  </property>
</Properties>
</file>